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PyMOL Guides</w:t>
      </w:r>
    </w:p>
    <w:p>
      <w:pPr>
        <w:pStyle w:val="FirstParagraph"/>
      </w:pPr>
      <w:r>
        <w:t xml:space="preserve">These guides provide an introduction to molecular visualization and scripting with PyMOL 3.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Guide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Biomolecular visualization with PyMOL 3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Introduction to the PyMOL GUI, molecular representations, atom selections, and making publication-quality figures.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Commands and scripting in PyMOL 3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Using the PyMOL command line and scripts for advanced visualization, including a full reference card.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pymol_guide_1.qmd" TargetMode="External" /><Relationship Type="http://schemas.openxmlformats.org/officeDocument/2006/relationships/hyperlink" Id="rId10" Target="pymol_guide_2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pymol_guide_1.qmd" TargetMode="External" /><Relationship Type="http://schemas.openxmlformats.org/officeDocument/2006/relationships/hyperlink" Id="rId10" Target="pymol_guide_2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PyMOL Guides</dc:title>
  <dc:creator/>
  <cp:keywords/>
  <dcterms:created xsi:type="dcterms:W3CDTF">2026-05-13T11:37:58Z</dcterms:created>
  <dcterms:modified xsi:type="dcterms:W3CDTF">2026-05-13T11:37:58Z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pymol-sidebar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