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1.png" ContentType="image/png"/>
  <Override PartName="/word/media/rId17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9.png" ContentType="image/png"/>
  <Override PartName="/word/media/rId47.png" ContentType="image/png"/>
  <Override PartName="/word/media/rId53.png" ContentType="image/png"/>
  <Override PartName="/word/media/rId59.png" ContentType="image/png"/>
  <Override PartName="/word/media/rId6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TØ 17 – Lipider og cellemembraner</w:t>
      </w:r>
    </w:p>
    <w:p>
      <w:r>
        <w:br w:type="page"/>
      </w:r>
    </w:p>
    <w:bookmarkStart w:id="16" w:name="opgave-1.-membransammensætning"/>
    <w:p>
      <w:pPr>
        <w:pStyle w:val="Heading2"/>
      </w:pPr>
      <w:r>
        <w:t xml:space="preserve">Opgave 1. Membransammensætning</w:t>
      </w:r>
    </w:p>
    <w:bookmarkStart w:id="9" w:name="sammenlign-membransmeltetemperaturer"/>
    <w:p>
      <w:pPr>
        <w:pStyle w:val="Heading3"/>
      </w:pPr>
      <w:r>
        <w:t xml:space="preserve">Sammenlign membransmeltetemperaturer</w:t>
      </w:r>
    </w:p>
    <w:p>
      <w:pPr>
        <w:pStyle w:val="FirstParagraph"/>
      </w:pPr>
      <w:r>
        <w:t xml:space="preserve">For to membransystemer, hvor den ene er sammensat af phospholipider med mættede acylkæder på 20 kulstofatomer og den anden af kæder af samme længde men med </w:t>
      </w:r>
      <w:r>
        <w:rPr>
          <w:i/>
          <w:iCs/>
        </w:rPr>
        <w:t xml:space="preserve">cis</w:t>
      </w:r>
      <w:r>
        <w:t xml:space="preserve">-dobbeltbindinger på både C-5, C-8, C-11 og C-14, hvilke forskelle i smeltetemperatur vil du så forvente?</w:t>
      </w:r>
    </w:p>
    <w:p>
      <w:pPr>
        <w:pStyle w:val="BodyText"/>
      </w:pPr>
      <w:r>
        <w:t xml:space="preserve">Bakterier med visse mutationer er ikke i stand til at syntetisere fedtsyrer og inkorporerer derfor fedtsyrer fra mediet i deres membraner.</w:t>
      </w:r>
    </w:p>
    <w:bookmarkEnd w:id="9"/>
    <w:bookmarkStart w:id="10" w:name="X396a9de184e7eea66afcb22dcfd83a754de5901"/>
    <w:p>
      <w:pPr>
        <w:pStyle w:val="Heading3"/>
      </w:pPr>
      <w:r>
        <w:t xml:space="preserve">Forudsig fedtsyresammensætning ved temperatur</w:t>
      </w:r>
    </w:p>
    <w:p>
      <w:pPr>
        <w:pStyle w:val="FirstParagraph"/>
      </w:pPr>
      <w:r>
        <w:t xml:space="preserve">Antag at du har to kulturer, der hver indeholder en blanding af forskellige typer lige-kædede fedtsyrer, nogle mættede og andre umættede og med varierende kædelængde fra 10-20 kulstofatomer. Hvis den ene kultur fastholdes ved 18°C og den anden ved 40°C over flere generationer, hvilke forskelle vil du så forvente at opleve i sammensætningen af de to kulturers cellemembraner?</w:t>
      </w:r>
    </w:p>
    <w:bookmarkEnd w:id="10"/>
    <w:bookmarkStart w:id="14" w:name="sammenlign-hopanoider-og-kolesterol"/>
    <w:p>
      <w:pPr>
        <w:pStyle w:val="Heading3"/>
      </w:pPr>
      <w:r>
        <w:t xml:space="preserve">Sammenlign hopanoider og kolesterol</w:t>
      </w:r>
    </w:p>
    <w:p>
      <w:pPr>
        <w:pStyle w:val="FirstParagraph"/>
      </w:pPr>
      <w:r>
        <w:t xml:space="preserve">Hopanoider er pentacykliske molekyler, der findes i bakterier og visse planter. En typisk hopanoidstruktur er vist nedenfor. Sammenlign strukturen med kolesterol.</w:t>
      </w:r>
    </w:p>
    <w:p>
      <w:pPr>
        <w:pStyle w:val="CaptionedFigure"/>
      </w:pPr>
      <w:r>
        <w:drawing>
          <wp:inline>
            <wp:extent cx="3175000" cy="3175000"/>
            <wp:effectExtent b="0" l="0" r="0" t="0"/>
            <wp:docPr descr="bacteriohopanetetrol" title="" id="12" name="Picture"/>
            <a:graphic>
              <a:graphicData uri="http://schemas.openxmlformats.org/drawingml/2006/picture">
                <pic:pic>
                  <pic:nvPicPr>
                    <pic:cNvPr descr="media/image77.png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bacteriohopanetetrol</w:t>
      </w:r>
    </w:p>
    <w:bookmarkEnd w:id="14"/>
    <w:bookmarkStart w:id="15" w:name="forudsig-hopanoidernes-membraneffekt"/>
    <w:p>
      <w:pPr>
        <w:pStyle w:val="Heading3"/>
      </w:pPr>
      <w:r>
        <w:t xml:space="preserve">Forudsig hopanoidernes membraneffekt</w:t>
      </w:r>
    </w:p>
    <w:p>
      <w:pPr>
        <w:pStyle w:val="FirstParagraph"/>
      </w:pPr>
      <w:r>
        <w:t xml:space="preserve">Hvilken effekt vil du forvente at hopanoid har på den bakterielle cellemembran?</w:t>
      </w:r>
    </w:p>
    <w:p>
      <w:r>
        <w:br w:type="page"/>
      </w:r>
    </w:p>
    <w:bookmarkEnd w:id="15"/>
    <w:bookmarkEnd w:id="16"/>
    <w:bookmarkStart w:id="26" w:name="opgave-2.-helical-wheel"/>
    <w:p>
      <w:pPr>
        <w:pStyle w:val="Heading2"/>
      </w:pPr>
      <w:r>
        <w:t xml:space="preserve">Opgave 2. Helical wheel</w:t>
      </w:r>
    </w:p>
    <w:p>
      <w:pPr>
        <w:pStyle w:val="FirstParagraph"/>
      </w:pPr>
      <w:r>
        <w:drawing>
          <wp:inline>
            <wp:extent cx="3956304" cy="4102608"/>
            <wp:effectExtent b="0" l="0" r="0" t="0"/>
            <wp:docPr descr="" title="" id="18" name="Picture"/>
            <a:graphic>
              <a:graphicData uri="http://schemas.openxmlformats.org/drawingml/2006/picture">
                <pic:pic>
                  <pic:nvPicPr>
                    <pic:cNvPr descr="media/image78.png" id="19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04" cy="41026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Membranspændende helicer består typisk af 18 to 20 aminosyrer.</w:t>
      </w:r>
    </w:p>
    <w:bookmarkStart w:id="20" w:name="beregn-hydrofob-membranbredde"/>
    <w:p>
      <w:pPr>
        <w:pStyle w:val="Heading3"/>
      </w:pPr>
      <w:r>
        <w:t xml:space="preserve">Beregn hydrofob membranbredde</w:t>
      </w:r>
    </w:p>
    <w:p>
      <w:pPr>
        <w:pStyle w:val="FirstParagraph"/>
      </w:pPr>
      <w:r>
        <w:t xml:space="preserve">Beregn bredden af den hydrofobe del af cellemembranen baseret på dette.</w:t>
      </w:r>
    </w:p>
    <w:bookmarkEnd w:id="20"/>
    <w:bookmarkStart w:id="21" w:name="fortolk-helical-wheel-plot"/>
    <w:p>
      <w:pPr>
        <w:pStyle w:val="Heading3"/>
      </w:pPr>
      <w:r>
        <w:t xml:space="preserve">Fortolk helical wheel-plot</w:t>
      </w:r>
    </w:p>
    <w:p>
      <w:pPr>
        <w:pStyle w:val="FirstParagraph"/>
      </w:pPr>
      <w:r>
        <w:t xml:space="preserve">Sekvensen af sådan en helix kan plottes i et såkaldt</w:t>
      </w:r>
      <w:r>
        <w:t xml:space="preserve"> </w:t>
      </w:r>
      <w:r>
        <w:rPr>
          <w:rStyle w:val="VerbatimChar"/>
        </w:rPr>
        <w:t xml:space="preserve">helical wheel</w:t>
      </w:r>
      <w:r>
        <w:t xml:space="preserve">, der viser positionen af hver aminosyrerest rundt om helicens akse.</w:t>
      </w:r>
    </w:p>
    <w:p>
      <w:pPr>
        <w:pStyle w:val="BodyText"/>
      </w:pPr>
      <w:r>
        <w:t xml:space="preserve">Forklar hvilke egenskaber ved transmembrane helicer, der kan forudsiges på baggrund af et</w:t>
      </w:r>
      <w:r>
        <w:t xml:space="preserve"> </w:t>
      </w:r>
      <w:r>
        <w:rPr>
          <w:rStyle w:val="VerbatimChar"/>
        </w:rPr>
        <w:t xml:space="preserve">helical wheel</w:t>
      </w:r>
      <w:r>
        <w:t xml:space="preserve">-plot.</w:t>
      </w:r>
    </w:p>
    <w:bookmarkEnd w:id="21"/>
    <w:bookmarkStart w:id="22" w:name="analysér-amfipatisk-helix"/>
    <w:p>
      <w:pPr>
        <w:pStyle w:val="Heading3"/>
      </w:pPr>
      <w:r>
        <w:t xml:space="preserve">Analysér amfipatisk helix</w:t>
      </w:r>
    </w:p>
    <w:p>
      <w:pPr>
        <w:pStyle w:val="FirstParagraph"/>
      </w:pPr>
      <w:r>
        <w:t xml:space="preserve">I eksemplet nedenfor, analysér positionen af de hydrofobe og hydrofile aminosyrerester. Hvordan stabiliseres de hydrofile sidekæder inde i membranen?</w:t>
      </w:r>
    </w:p>
    <w:p>
      <w:pPr>
        <w:pStyle w:val="SourceCode"/>
      </w:pPr>
      <w:r>
        <w:rPr>
          <w:rStyle w:val="VerbatimChar"/>
        </w:rPr>
        <w:t xml:space="preserve">Ser-Val-Tyr-Asp-Ile-Leu-Glu-Arg-Phe-Asn-Glu-Thr-Met-Asn-His-Ala-Val-Ser-Gly</w:t>
      </w:r>
    </w:p>
    <w:bookmarkEnd w:id="22"/>
    <w:bookmarkStart w:id="23" w:name="vis-prostaglandins-ligander-i-pymol"/>
    <w:p>
      <w:pPr>
        <w:pStyle w:val="Heading3"/>
      </w:pPr>
      <w:r>
        <w:t xml:space="preserve">Vis prostaglandins ligander i PyMOL</w:t>
      </w:r>
    </w:p>
    <w:p>
      <w:pPr>
        <w:pStyle w:val="FirstParagraph"/>
      </w:pPr>
      <w:r>
        <w:t xml:space="preserve">Lav en scene, kaldet F1, der viser prostaglandin (PDB-ID: 1PTH). Hvilke ligander er bundet? Hvilke tror I findes i den native struktur og hvilke er produkt af krystalliseringsmetoden?</w:t>
      </w:r>
    </w:p>
    <w:bookmarkEnd w:id="23"/>
    <w:bookmarkStart w:id="24" w:name="Xdf101e5d68c2c8845d8585d639efab2c1c66771"/>
    <w:p>
      <w:pPr>
        <w:pStyle w:val="Heading3"/>
      </w:pPr>
      <w:r>
        <w:t xml:space="preserve">Analysér elektrostatisk membranlokalisering</w:t>
      </w:r>
    </w:p>
    <w:p>
      <w:pPr>
        <w:pStyle w:val="FirstParagraph"/>
      </w:pPr>
      <w:r>
        <w:t xml:space="preserve">Analyser den elektrostatiske overflade af prostaglandin. Lav en scene, kaldet F2, der viser dette. Hvordan er prostaglandin lokaliseret til membranen - forklar ud fra det beregnede elektrostatiske potentiale?</w:t>
      </w:r>
    </w:p>
    <w:bookmarkEnd w:id="24"/>
    <w:bookmarkStart w:id="25" w:name="analysér-tm-helicernes-elektrostatik"/>
    <w:p>
      <w:pPr>
        <w:pStyle w:val="Heading3"/>
      </w:pPr>
      <w:r>
        <w:t xml:space="preserve">Analysér TM-helicernes elektrostatik</w:t>
      </w:r>
    </w:p>
    <w:p>
      <w:pPr>
        <w:pStyle w:val="FirstParagraph"/>
      </w:pPr>
      <w:r>
        <w:t xml:space="preserve">Kig nærmere på alphahelicerne mellem rest 74 og 124 og undersøg deres elektrostatiske overflade. Hint: Lav alphahelicerne et objekt. Analyser de enkelte helicers ligesom I gjorde med helix-wheel plottet. Stemmer det overens med det forventede?</w:t>
      </w:r>
    </w:p>
    <w:p>
      <w:r>
        <w:br w:type="page"/>
      </w:r>
    </w:p>
    <w:bookmarkEnd w:id="25"/>
    <w:bookmarkEnd w:id="26"/>
    <w:bookmarkStart w:id="38" w:name="opgave-3.-hydropatiplot"/>
    <w:p>
      <w:pPr>
        <w:pStyle w:val="Heading2"/>
      </w:pPr>
      <w:r>
        <w:t xml:space="preserve">Opgave 3. Hydropatiplot</w:t>
      </w:r>
    </w:p>
    <w:bookmarkStart w:id="36" w:name="analyser-hydropatiplot"/>
    <w:p>
      <w:pPr>
        <w:pStyle w:val="Heading3"/>
      </w:pPr>
      <w:r>
        <w:t xml:space="preserve">Analyser hydropatiplot</w:t>
      </w:r>
    </w:p>
    <w:p>
      <w:pPr>
        <w:pStyle w:val="FirstParagraph"/>
      </w:pPr>
      <w:r>
        <w:t xml:space="preserve">Analysér nedenstående hydropatiplot for tilstedeværelse af transmembrane segmenter:</w:t>
      </w:r>
    </w:p>
    <w:p>
      <w:pPr>
        <w:pStyle w:val="BodyText"/>
      </w:pPr>
      <w:r>
        <w:drawing>
          <wp:inline>
            <wp:extent cx="3733800" cy="1796666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media/image80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96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33800" cy="17773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media/image8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773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33800" cy="1729303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media/image8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293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37" w:name="vurdér-analysens-usikkerheder"/>
    <w:p>
      <w:pPr>
        <w:pStyle w:val="Heading3"/>
      </w:pPr>
      <w:r>
        <w:t xml:space="preserve">Vurdér analysens usikkerheder</w:t>
      </w:r>
    </w:p>
    <w:p>
      <w:pPr>
        <w:pStyle w:val="FirstParagraph"/>
      </w:pPr>
      <w:r>
        <w:t xml:space="preserve">Hvilke usikkerheder ligger der i analysen?</w:t>
      </w:r>
    </w:p>
    <w:p>
      <w:r>
        <w:br w:type="page"/>
      </w:r>
    </w:p>
    <w:bookmarkEnd w:id="37"/>
    <w:bookmarkEnd w:id="38"/>
    <w:bookmarkStart w:id="51" w:name="X15558c1b3eb8295f7a3906e13f78c10b7d69974"/>
    <w:p>
      <w:pPr>
        <w:pStyle w:val="Heading2"/>
      </w:pPr>
      <w:r>
        <w:t xml:space="preserve">Opgave 4. Breast Cancer Resistance Protein (BCRP)</w:t>
      </w:r>
    </w:p>
    <w:p>
      <w:pPr>
        <w:pStyle w:val="FirstParagraph"/>
      </w:pPr>
      <w:r>
        <w:t xml:space="preserve">Kvinder med brystkræft udvikler af og til resistens mod et bredt spektrum af cytotoxiske medikamenter brugt i kemoterapien. Baggrunden for dette synes at ligge i en opregulering af ekspression af en række multidrug-resistance proteiner tilhørende gruppen af membranassocierede ABC-transportere. BCRP er en sådan transporter, hvis aminosyresekvens udledt fra cDNA er vist nedenfor.</w:t>
      </w:r>
    </w:p>
    <w:p>
      <w:pPr>
        <w:pStyle w:val="SourceCode"/>
      </w:pPr>
      <w:r>
        <w:rPr>
          <w:rStyle w:val="VerbatimChar"/>
        </w:rPr>
        <w:t xml:space="preserve">1                  20                    40                    60</w:t>
      </w:r>
      <w:r>
        <w:br/>
      </w:r>
      <w:r>
        <w:rPr>
          <w:rStyle w:val="VerbatimChar"/>
        </w:rPr>
        <w:t xml:space="preserve">MSSSNVEVFI PVSQGNTNGF PATASNDLKA FTEGAVLSFH NICYRVKLKS GFLPCRKPVE</w:t>
      </w:r>
      <w:r>
        <w:br/>
      </w:r>
      <w:r>
        <w:rPr>
          <w:rStyle w:val="VerbatimChar"/>
        </w:rPr>
        <w:t xml:space="preserve">                   80                   100                   120</w:t>
      </w:r>
      <w:r>
        <w:br/>
      </w:r>
      <w:r>
        <w:rPr>
          <w:rStyle w:val="VerbatimChar"/>
        </w:rPr>
        <w:t xml:space="preserve">KEILSNINGI MKPGLNAILG PTGGGKSSLL DVLAARKDPS GLSGDVLING APRPANFKCN</w:t>
      </w:r>
      <w:r>
        <w:br/>
      </w:r>
      <w:r>
        <w:rPr>
          <w:rStyle w:val="VerbatimChar"/>
        </w:rPr>
        <w:t xml:space="preserve">                  140                   160                   180</w:t>
      </w:r>
      <w:r>
        <w:br/>
      </w:r>
      <w:r>
        <w:rPr>
          <w:rStyle w:val="VerbatimChar"/>
        </w:rPr>
        <w:t xml:space="preserve">SGYVVQDDVV MGTLTVRENL QFSAALRLAT TMTNHEKNER INRVIQELGL DKVADSKVGT</w:t>
      </w:r>
      <w:r>
        <w:br/>
      </w:r>
      <w:r>
        <w:rPr>
          <w:rStyle w:val="VerbatimChar"/>
        </w:rPr>
        <w:t xml:space="preserve">                  200                   220                   240</w:t>
      </w:r>
      <w:r>
        <w:br/>
      </w:r>
      <w:r>
        <w:rPr>
          <w:rStyle w:val="VerbatimChar"/>
        </w:rPr>
        <w:t xml:space="preserve">QFIRGVSGGE RKRTSIGMEL ITDPSILFLD EPTTGLDSST ANAVLLLLKR MSKQGRTIIF</w:t>
      </w:r>
      <w:r>
        <w:br/>
      </w:r>
      <w:r>
        <w:rPr>
          <w:rStyle w:val="VerbatimChar"/>
        </w:rPr>
        <w:t xml:space="preserve">                  260                   280                   300</w:t>
      </w:r>
      <w:r>
        <w:br/>
      </w:r>
      <w:r>
        <w:rPr>
          <w:rStyle w:val="VerbatimChar"/>
        </w:rPr>
        <w:t xml:space="preserve">SIHQPRYSIF KLFDSLTLLA SGRLMFHGPA QEALGYFESA GYHCEAYNNP ADFFLDIING</w:t>
      </w:r>
      <w:r>
        <w:br/>
      </w:r>
      <w:r>
        <w:rPr>
          <w:rStyle w:val="VerbatimChar"/>
        </w:rPr>
        <w:t xml:space="preserve">                  320                   340                   360</w:t>
      </w:r>
      <w:r>
        <w:br/>
      </w:r>
      <w:r>
        <w:rPr>
          <w:rStyle w:val="VerbatimChar"/>
        </w:rPr>
        <w:t xml:space="preserve">DSTAVALNRE EDFKATEIIE PSKQDKPLIE KLAEIYVNAS FYKETKAELH QLSGGEKKKK</w:t>
      </w:r>
      <w:r>
        <w:br/>
      </w:r>
      <w:r>
        <w:rPr>
          <w:rStyle w:val="VerbatimChar"/>
        </w:rPr>
        <w:t xml:space="preserve">                  380                   400                   420</w:t>
      </w:r>
      <w:r>
        <w:br/>
      </w:r>
      <w:r>
        <w:rPr>
          <w:rStyle w:val="VerbatimChar"/>
        </w:rPr>
        <w:t xml:space="preserve">ITVFKEISYT TSFCHQLRWV SKRSFKNLLG NPQASIAQII VTVVLGLVIG AIYFGLKNDS</w:t>
      </w:r>
      <w:r>
        <w:br/>
      </w:r>
      <w:r>
        <w:rPr>
          <w:rStyle w:val="VerbatimChar"/>
        </w:rPr>
        <w:t xml:space="preserve">                  440                   460                   480</w:t>
      </w:r>
      <w:r>
        <w:br/>
      </w:r>
      <w:r>
        <w:rPr>
          <w:rStyle w:val="VerbatimChar"/>
        </w:rPr>
        <w:t xml:space="preserve">TGIQNRAGVL FFLTTNQCFS VVSAVELFVV EKKLFIHEYI SGYYRVSSYF LGKLLSDLLP</w:t>
      </w:r>
      <w:r>
        <w:br/>
      </w:r>
      <w:r>
        <w:rPr>
          <w:rStyle w:val="VerbatimChar"/>
        </w:rPr>
        <w:t xml:space="preserve">                  500                   520                   540</w:t>
      </w:r>
      <w:r>
        <w:br/>
      </w:r>
      <w:r>
        <w:rPr>
          <w:rStyle w:val="VerbatimChar"/>
        </w:rPr>
        <w:t xml:space="preserve">MRMLPSIIFT CIVYFMLGLK PKADAFFVMM FTLMMVAYSA SSMALAIAAG QSVVSVATLL</w:t>
      </w:r>
      <w:r>
        <w:br/>
      </w:r>
      <w:r>
        <w:rPr>
          <w:rStyle w:val="VerbatimChar"/>
        </w:rPr>
        <w:t xml:space="preserve">                  560                   580                   600</w:t>
      </w:r>
      <w:r>
        <w:br/>
      </w:r>
      <w:r>
        <w:rPr>
          <w:rStyle w:val="VerbatimChar"/>
        </w:rPr>
        <w:t xml:space="preserve">MTICFVFMMI FSGLLVNLTT IASWLSWLQY FSIPRYGFTA LQHNEFLGQN FCPGLNATGN</w:t>
      </w:r>
      <w:r>
        <w:br/>
      </w:r>
      <w:r>
        <w:rPr>
          <w:rStyle w:val="VerbatimChar"/>
        </w:rPr>
        <w:t xml:space="preserve">                  620                   640</w:t>
      </w:r>
      <w:r>
        <w:br/>
      </w:r>
      <w:r>
        <w:rPr>
          <w:rStyle w:val="VerbatimChar"/>
        </w:rPr>
        <w:t xml:space="preserve">NPCNYATCTG EEYLVKQGID LSPWGLWKNH VALACMIVIF LTIAYLKLLF LKKYS</w:t>
      </w:r>
    </w:p>
    <w:p>
      <w:pPr>
        <w:pStyle w:val="FirstParagraph"/>
      </w:pPr>
      <w:r>
        <w:t xml:space="preserve">Hydrofobicitetsanalyse af BCRP giver desuden følgende resultat:</w:t>
      </w:r>
    </w:p>
    <w:p>
      <w:pPr>
        <w:pStyle w:val="BodyText"/>
      </w:pPr>
      <w:r>
        <w:drawing>
          <wp:inline>
            <wp:extent cx="4800600" cy="1705075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media/image8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05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42" w:name="X075d24e19579d0736f91c3ca09c12bc3e557d67"/>
    <w:p>
      <w:pPr>
        <w:pStyle w:val="Heading3"/>
      </w:pPr>
      <w:r>
        <w:t xml:space="preserve">Identificér TM-helicer i BCRP-hydropatiplot</w:t>
      </w:r>
    </w:p>
    <w:p>
      <w:pPr>
        <w:pStyle w:val="FirstParagraph"/>
      </w:pPr>
      <w:r>
        <w:t xml:space="preserve">Hvilke egenskaber af hydropatiplottet understøtter idéen om at BCRP indeholder transmembrane helicer? </w:t>
      </w:r>
    </w:p>
    <w:bookmarkEnd w:id="42"/>
    <w:bookmarkStart w:id="43" w:name="anslå-antal-og-placering-af-tm-helicer"/>
    <w:p>
      <w:pPr>
        <w:pStyle w:val="Heading3"/>
      </w:pPr>
      <w:r>
        <w:t xml:space="preserve">Anslå antal og placering af TM-helicer</w:t>
      </w:r>
    </w:p>
    <w:p>
      <w:pPr>
        <w:pStyle w:val="FirstParagraph"/>
      </w:pPr>
      <w:r>
        <w:t xml:space="preserve">Anslå antallet og den omtrentlige placering af de transmembrane helicer i BCRP.</w:t>
      </w:r>
    </w:p>
    <w:bookmarkEnd w:id="43"/>
    <w:bookmarkStart w:id="44" w:name="find-atp-bindende-kassette-i-sekvens"/>
    <w:p>
      <w:pPr>
        <w:pStyle w:val="Heading3"/>
      </w:pPr>
      <w:r>
        <w:t xml:space="preserve">Find ATP-bindende kassette i sekvens</w:t>
      </w:r>
    </w:p>
    <w:p>
      <w:pPr>
        <w:pStyle w:val="FirstParagraph"/>
      </w:pPr>
      <w:r>
        <w:t xml:space="preserve">ABC-transportere indeholder en såkaldt ATP-bindende kassette og benytter energien fra ATP til selve eksportprocessen.</w:t>
      </w:r>
    </w:p>
    <w:p>
      <w:pPr>
        <w:pStyle w:val="BodyText"/>
      </w:pPr>
      <w:r>
        <w:t xml:space="preserve">Foreslå hvilken del af sekvensen ovenfor, der indeholder den ATP-bindende kassette.</w:t>
      </w:r>
    </w:p>
    <w:bookmarkEnd w:id="44"/>
    <w:bookmarkStart w:id="45" w:name="tegn-bcrp-topologi-i-membran"/>
    <w:p>
      <w:pPr>
        <w:pStyle w:val="Heading3"/>
      </w:pPr>
      <w:r>
        <w:t xml:space="preserve">Tegn BCRP-topologi i membran</w:t>
      </w:r>
    </w:p>
    <w:p>
      <w:pPr>
        <w:pStyle w:val="FirstParagraph"/>
      </w:pPr>
      <w:r>
        <w:t xml:space="preserve">For at forstå foldningen af membranproteinet indsatte man et peptid med sekvensen YPYDVPDYA på 12 forskellige positioner i BCRP-sekvensen. De resulterende konstrukter (samt vildtype BCRP og en negativ kontrol) blev herefter transfekteret i epithelceller og analyseret for evnen til at binde et radioaktivt mærket antistof rejst mod YPYDVPDYA-sekvensen. Resultatet af analysen er vist i tabellen nedenfor.</w:t>
      </w:r>
    </w:p>
    <w:tbl>
      <w:tblPr>
        <w:tblStyle w:val="Table"/>
        <w:tblW w:type="pct" w:w="4931"/>
        <w:tblLayout w:type="fixed"/>
        <w:tblLook w:firstRow="1" w:lastRow="0" w:firstColumn="0" w:lastColumn="0" w:noHBand="0" w:noVBand="0" w:val="0020"/>
      </w:tblPr>
      <w:tblGrid>
        <w:gridCol w:w="2200"/>
        <w:gridCol w:w="2750"/>
        <w:gridCol w:w="2860"/>
      </w:tblGrid>
      <w:tr>
        <w:trPr>
          <w:tblHeader w:val="on"/>
        </w:trPr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Konstrukt</w:t>
            </w:r>
          </w:p>
        </w:tc>
        <w:tc>
          <w:tcPr/>
          <w:p>
            <w:pPr>
              <w:jc w:val="center"/>
            </w:pPr>
            <w:r>
              <w:rPr>
                <w:b/>
                <w:bCs/>
              </w:rPr>
              <w:t xml:space="preserve">Substitution</w:t>
            </w:r>
          </w:p>
          <w:p>
            <w:pPr>
              <w:jc w:val="center"/>
            </w:pPr>
            <w:r>
              <w:rPr>
                <w:b/>
                <w:bCs/>
              </w:rPr>
              <w:t xml:space="preserve">(position fra-til)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Radioaktiv mærkning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vildtype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negativ kontrol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N-term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2 - 10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405 - 413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416 - 424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++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450 - 458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455 - 463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475 - 483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485 - 493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498 - 506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+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540 - 548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570 - 578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++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10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635 - 643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C-term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655 - 663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-</w:t>
            </w:r>
          </w:p>
        </w:tc>
      </w:tr>
    </w:tbl>
    <w:p>
      <w:pPr>
        <w:pStyle w:val="BodyText"/>
      </w:pPr>
      <w:r>
        <w:rPr>
          <w:i/>
          <w:iCs/>
        </w:rPr>
        <w:t xml:space="preserve">Topologisk analyse af BCRP. ++ stærk, + medium og – ingen mærkning.</w:t>
      </w:r>
    </w:p>
    <w:p>
      <w:pPr>
        <w:pStyle w:val="BodyText"/>
      </w:pPr>
      <w:r>
        <w:t xml:space="preserve">Lav en skitse af BCRP som det er indlejret i cellemembranen. Er N- og C-terminalerne placeret på samme eller modsatte side af membranen?</w:t>
      </w:r>
    </w:p>
    <w:bookmarkEnd w:id="45"/>
    <w:bookmarkStart w:id="46" w:name="angiv-mulige-n-glykosyleringssites"/>
    <w:p>
      <w:pPr>
        <w:pStyle w:val="Heading3"/>
      </w:pPr>
      <w:r>
        <w:t xml:space="preserve">Angiv mulige N-glykosyleringssites</w:t>
      </w:r>
    </w:p>
    <w:p>
      <w:pPr>
        <w:pStyle w:val="FirstParagraph"/>
      </w:pPr>
      <w:r>
        <w:t xml:space="preserve">Angiv mulige N-glykosyleringssites i sekvensen for BCRP.</w:t>
      </w:r>
    </w:p>
    <w:bookmarkEnd w:id="46"/>
    <w:bookmarkStart w:id="50" w:name="fortolk-glykosyleringsanalysen"/>
    <w:p>
      <w:pPr>
        <w:pStyle w:val="Heading3"/>
      </w:pPr>
      <w:r>
        <w:t xml:space="preserve">Fortolk glykosyleringsanalysen</w:t>
      </w:r>
    </w:p>
    <w:p>
      <w:pPr>
        <w:pStyle w:val="FirstParagraph"/>
      </w:pPr>
      <w:r>
        <w:t xml:space="preserve">For at undersøge om BCRP er glykosyleret, muterede man desuden specifikke asparaginrester. Proteinekstrakter fra celler transfekteret med mutant BCRP blev derefter analyseret ved SDS-PAGE før og efter behandling med PNGase F. Resultatet af analysen vises nedenfor.</w:t>
      </w:r>
    </w:p>
    <w:p>
      <w:pPr>
        <w:pStyle w:val="BodyText"/>
      </w:pPr>
      <w:r>
        <w:drawing>
          <wp:inline>
            <wp:extent cx="3553967" cy="1853183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media/image8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67" cy="1853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Hvad fortæller analysen om glycosyleringerne i BCRP? Begrund dit svar.</w:t>
      </w:r>
    </w:p>
    <w:p>
      <w:r>
        <w:br w:type="page"/>
      </w:r>
    </w:p>
    <w:bookmarkEnd w:id="50"/>
    <w:bookmarkEnd w:id="51"/>
    <w:bookmarkStart w:id="66" w:name="opgave-5.-5-nucleotidase"/>
    <w:p>
      <w:pPr>
        <w:pStyle w:val="Heading2"/>
      </w:pPr>
      <w:r>
        <w:t xml:space="preserve">Opgave 5. 5’-Nucleotidase</w:t>
      </w:r>
    </w:p>
    <w:p>
      <w:pPr>
        <w:pStyle w:val="FirstParagraph"/>
      </w:pPr>
      <w:r>
        <w:t xml:space="preserve">Enzymet 5’-nucleotidase (5’-ribonucleotide phosphohydrolase) er et glycoprotein, der findes associeret med plasmamembranen i mange celler. Enzymet kan forholdsvis let isoleres fra placenta ved brug af detergenter og har en masse på 71 kDa som bedømt med SDS-PAGE.</w:t>
      </w:r>
    </w:p>
    <w:bookmarkStart w:id="52" w:name="beskriv-5-nucleotidasens-reaktion"/>
    <w:p>
      <w:pPr>
        <w:pStyle w:val="Heading3"/>
      </w:pPr>
      <w:r>
        <w:t xml:space="preserve">Beskriv 5’-nucleotidasens reaktion</w:t>
      </w:r>
    </w:p>
    <w:p>
      <w:pPr>
        <w:pStyle w:val="FirstParagraph"/>
      </w:pPr>
      <w:r>
        <w:t xml:space="preserve">Hvilken type reaktion antyder navnet at 5’-nucleotidase udfører?</w:t>
      </w:r>
    </w:p>
    <w:bookmarkEnd w:id="52"/>
    <w:bookmarkStart w:id="56" w:name="forklar-detergentens-rolle-i-oprensning"/>
    <w:p>
      <w:pPr>
        <w:pStyle w:val="Heading3"/>
      </w:pPr>
      <w:r>
        <w:t xml:space="preserve">Forklar detergentens rolle i oprensning</w:t>
      </w:r>
    </w:p>
    <w:p>
      <w:pPr>
        <w:pStyle w:val="FirstParagraph"/>
      </w:pPr>
      <w:r>
        <w:t xml:space="preserve">Ved gelfiltrering af det ekstraherede enzym på Sephacryl S-300-søjle under tilstedeværelse af 0.1% Triton X-100 (en detergent), eluerer enzymet svarende til et 150 kDa protein. Uden detergent eluerer enzymet i void-volumen som vist nedenfor.</w:t>
      </w:r>
    </w:p>
    <w:p>
      <w:pPr>
        <w:pStyle w:val="CaptionedFigure"/>
      </w:pPr>
      <w:r>
        <w:drawing>
          <wp:inline>
            <wp:extent cx="4255008" cy="2627376"/>
            <wp:effectExtent b="0" l="0" r="0" t="0"/>
            <wp:docPr descr="Gelfiltrering af 5’-nucleotidase med (fyldte cirkler) eller uden (hule cirkler) Triton X-100 til stede. Pilene angiver positionen af (a) thyroglobulin (670 KDa), (b) ferritin (440 KDa), (c) immunoglobulin G (160 KDa) og (d) serum albumin (68 KDa).  Vo er søjlens void-volumen." title="" id="54" name="Picture"/>
            <a:graphic>
              <a:graphicData uri="http://schemas.openxmlformats.org/drawingml/2006/picture">
                <pic:pic>
                  <pic:nvPicPr>
                    <pic:cNvPr descr="media/image86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08" cy="26273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Gelfiltrering af 5’-nucleotidase med (fyldte cirkler) eller uden (hule cirkler) Triton X-100 til stede. Pilene angiver positionen af (a) thyroglobulin (670 KDa), (b) ferritin (440 KDa), (c) immunoglobulin G (160 KDa) og (d) serum albumin (68 KDa).  Vo er søjlens void-volumen.</w:t>
      </w:r>
    </w:p>
    <w:p>
      <w:pPr>
        <w:pStyle w:val="BodyText"/>
      </w:pPr>
      <w:r>
        <w:t xml:space="preserve">Beskriv den rolle, detergenten spiller i oprensningen.</w:t>
      </w:r>
    </w:p>
    <w:bookmarkEnd w:id="56"/>
    <w:bookmarkStart w:id="57" w:name="bestem-kvarternær-struktur"/>
    <w:p>
      <w:pPr>
        <w:pStyle w:val="Heading3"/>
      </w:pPr>
      <w:r>
        <w:t xml:space="preserve">Bestem kvarternær struktur</w:t>
      </w:r>
    </w:p>
    <w:p>
      <w:pPr>
        <w:pStyle w:val="FirstParagraph"/>
      </w:pPr>
      <w:r>
        <w:t xml:space="preserve">Hvad er den mest sandsynlige kvarternære struktur af enzymet, når det er bundet til cellemembranen?</w:t>
      </w:r>
    </w:p>
    <w:bookmarkEnd w:id="57"/>
    <w:bookmarkStart w:id="58" w:name="forklar-interfaselokalisering"/>
    <w:p>
      <w:pPr>
        <w:pStyle w:val="Heading3"/>
      </w:pPr>
      <w:r>
        <w:t xml:space="preserve">Forklar interfaselokalisering</w:t>
      </w:r>
    </w:p>
    <w:p>
      <w:pPr>
        <w:pStyle w:val="FirstParagraph"/>
      </w:pPr>
      <w:r>
        <w:t xml:space="preserve">Aminosyresekvensen af human placental 5’-nukleotidase afledt fra cDNA er vist nedenfor. Enzymet syntetiseres med et signalpeptid på 26 rester samt et stærkt hydrofobt område umiddelbart før stopkodon.</w:t>
      </w:r>
    </w:p>
    <w:p>
      <w:pPr>
        <w:pStyle w:val="SourceCode"/>
      </w:pPr>
      <w:r>
        <w:rPr>
          <w:rStyle w:val="VerbatimChar"/>
        </w:rPr>
        <w:t xml:space="preserve">1                             30                               60 </w:t>
      </w:r>
      <w:r>
        <w:br/>
      </w:r>
      <w:r>
        <w:rPr>
          <w:rStyle w:val="VerbatimChar"/>
        </w:rPr>
        <w:t xml:space="preserve">MCPRAARAPA TLLLALGAVL WPAAGAWELT ILHTNDVHSR LEQTSEDSSK CVNASRCMGG </w:t>
      </w:r>
      <w:r>
        <w:br/>
      </w:r>
      <w:r>
        <w:rPr>
          <w:rStyle w:val="VerbatimChar"/>
        </w:rPr>
        <w:t xml:space="preserve">                               90                              120 </w:t>
      </w:r>
      <w:r>
        <w:br/>
      </w:r>
      <w:r>
        <w:rPr>
          <w:rStyle w:val="VerbatimChar"/>
        </w:rPr>
        <w:t xml:space="preserve">VARLFTKVQQ IRRAEPNVLL LDAGDQYQGT IWFTVYKGAE VAHFMNALRY DAMALGNHEF </w:t>
      </w:r>
      <w:r>
        <w:br/>
      </w:r>
      <w:r>
        <w:rPr>
          <w:rStyle w:val="VerbatimChar"/>
        </w:rPr>
        <w:t xml:space="preserve">                             150                              180  </w:t>
      </w:r>
      <w:r>
        <w:br/>
      </w:r>
      <w:r>
        <w:rPr>
          <w:rStyle w:val="VerbatimChar"/>
        </w:rPr>
        <w:t xml:space="preserve">DNGVEGLIEP LLKEAKFPIL SANIKAKGPL ASQISGLYLP YKVLPVGDEV VGIVGYTSKE </w:t>
      </w:r>
      <w:r>
        <w:br/>
      </w:r>
      <w:r>
        <w:rPr>
          <w:rStyle w:val="VerbatimChar"/>
        </w:rPr>
        <w:t xml:space="preserve">                             210                              240 </w:t>
      </w:r>
      <w:r>
        <w:br/>
      </w:r>
      <w:r>
        <w:rPr>
          <w:rStyle w:val="VerbatimChar"/>
        </w:rPr>
        <w:t xml:space="preserve">TPFLSNPGTN LVFEDEITAL QPEVDKLKTL NVNKIIALGH SGFEMDKLIA QKVRGVDVVV </w:t>
      </w:r>
      <w:r>
        <w:br/>
      </w:r>
      <w:r>
        <w:rPr>
          <w:rStyle w:val="VerbatimChar"/>
        </w:rPr>
        <w:t xml:space="preserve">                             270                              300 </w:t>
      </w:r>
      <w:r>
        <w:br/>
      </w:r>
      <w:r>
        <w:rPr>
          <w:rStyle w:val="VerbatimChar"/>
        </w:rPr>
        <w:t xml:space="preserve">GGHSNTFLYT GNPPSKEVPA GKYPFIVTSD DGRKVPVVQA YAFGKYLGYL KIEFDERGNV </w:t>
      </w:r>
      <w:r>
        <w:br/>
      </w:r>
      <w:r>
        <w:rPr>
          <w:rStyle w:val="VerbatimChar"/>
        </w:rPr>
        <w:t xml:space="preserve">                             330                              360 </w:t>
      </w:r>
      <w:r>
        <w:br/>
      </w:r>
      <w:r>
        <w:rPr>
          <w:rStyle w:val="VerbatimChar"/>
        </w:rPr>
        <w:t xml:space="preserve">ISSHGNPILL NSSIPEDPSI KADINKWRIK LDNYSTQELG KTIVYLDGSS QSCRFRECNM </w:t>
      </w:r>
      <w:r>
        <w:br/>
      </w:r>
      <w:r>
        <w:rPr>
          <w:rStyle w:val="VerbatimChar"/>
        </w:rPr>
        <w:t xml:space="preserve">                             390                              420 </w:t>
      </w:r>
      <w:r>
        <w:br/>
      </w:r>
      <w:r>
        <w:rPr>
          <w:rStyle w:val="VerbatimChar"/>
        </w:rPr>
        <w:t xml:space="preserve">GNLICDAMIN NNLRHTDEMF WNHVSMCILN GGGIRSPIDE RNNGTITWEN LAAVLPFGGT </w:t>
      </w:r>
      <w:r>
        <w:br/>
      </w:r>
      <w:r>
        <w:rPr>
          <w:rStyle w:val="VerbatimChar"/>
        </w:rPr>
        <w:t xml:space="preserve">                             450                              480 </w:t>
      </w:r>
      <w:r>
        <w:br/>
      </w:r>
      <w:r>
        <w:rPr>
          <w:rStyle w:val="VerbatimChar"/>
        </w:rPr>
        <w:t xml:space="preserve">FDLVQLKGST LKKAFEHSVH RYGQSTGEFL QVGGIHVVYD LSRKPGDRVV KLDVLCTKCR </w:t>
      </w:r>
      <w:r>
        <w:br/>
      </w:r>
      <w:r>
        <w:rPr>
          <w:rStyle w:val="VerbatimChar"/>
        </w:rPr>
        <w:t xml:space="preserve">                             510                              540 </w:t>
      </w:r>
      <w:r>
        <w:br/>
      </w:r>
      <w:r>
        <w:rPr>
          <w:rStyle w:val="VerbatimChar"/>
        </w:rPr>
        <w:t xml:space="preserve">VPSYDPLKMD EVYKVILPNF LANGGDGFQM IKDELLRHDS GDQDINVVST YISKMKVIYP </w:t>
      </w:r>
      <w:r>
        <w:br/>
      </w:r>
      <w:r>
        <w:rPr>
          <w:rStyle w:val="VerbatimChar"/>
        </w:rPr>
        <w:t xml:space="preserve">                             570 </w:t>
      </w:r>
      <w:r>
        <w:br/>
      </w:r>
      <w:r>
        <w:rPr>
          <w:rStyle w:val="VerbatimChar"/>
        </w:rPr>
        <w:t xml:space="preserve">AVEGRIKFST GSHCHGSFSL IFLSLWAVIF VLYQ</w:t>
      </w:r>
    </w:p>
    <w:p>
      <w:pPr>
        <w:pStyle w:val="FirstParagraph"/>
      </w:pPr>
      <w:r>
        <w:t xml:space="preserve">For at forstå enzymets associering med membranen blev det oprensede protein opløst i 45% myresyre og nedbrudt med CNBr i 20 timer, hvorefter reaktionsblandingen blev udrystet med hexan. Efter centrifugering observerede man tre lag, øverst et lag bestående af hexan, i bunden et lag af vandig myresyre og i interfasen mellem disse, et tyndt ugennemsigtigt lag. Dette tynde lag viste sig at indeholde et 3 kDa fragment, der efterfølgende blev behandlet med en endopeptidase specifik for lysinrester. Efter endnu en hexanekstraktion kunne man isolere et dipeptid fra interfasen.</w:t>
      </w:r>
    </w:p>
    <w:p>
      <w:pPr>
        <w:pStyle w:val="BodyText"/>
      </w:pPr>
      <w:r>
        <w:t xml:space="preserve">Hvorfor findes 3 kDa-fragmentet og dipeptidet i interfasen mellem hexanfasen og den vandige fase?</w:t>
      </w:r>
    </w:p>
    <w:bookmarkEnd w:id="58"/>
    <w:bookmarkStart w:id="65" w:name="lokalisér-fragmenter-i-sekvensen"/>
    <w:p>
      <w:pPr>
        <w:pStyle w:val="Heading3"/>
      </w:pPr>
      <w:r>
        <w:t xml:space="preserve">Lokalisér fragmenter i sekvensen</w:t>
      </w:r>
    </w:p>
    <w:p>
      <w:pPr>
        <w:pStyle w:val="FirstParagraph"/>
      </w:pPr>
      <w:r>
        <w:drawing>
          <wp:inline>
            <wp:extent cx="4814047" cy="3723531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media/image87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47" cy="3723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136776" cy="4532491"/>
            <wp:effectExtent b="0" l="0" r="0" t="0"/>
            <wp:docPr descr="" title="" id="63" name="Picture"/>
            <a:graphic>
              <a:graphicData uri="http://schemas.openxmlformats.org/drawingml/2006/picture">
                <pic:pic>
                  <pic:nvPicPr>
                    <pic:cNvPr descr="media/image88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76" cy="4532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Aminosyresekvensen af CNBr-fragmentet og dipeptidet kan ses i Tabel 1 nedenfor mens sammensætningen af fragmenterne er vist i Tabel 2. Begge fragmenter indeholder et komplekst glykolipid og udover komponenterne listet i tabellerne indeholder fragmenterne også glycerol og phosphat. Glykosamine var desuden på formen N-acetyl glukosamine.</w:t>
      </w:r>
    </w:p>
    <w:p>
      <w:pPr>
        <w:pStyle w:val="BodyText"/>
      </w:pPr>
      <w:r>
        <w:t xml:space="preserve">Lokalisér 3 kDa-fragmentet og dipeptidet i aminosyresekvensen. Hvilken rest udgør C-terminalen i det modne enzym?</w:t>
      </w:r>
    </w:p>
    <w:p>
      <w:pPr>
        <w:pStyle w:val="BodyText"/>
      </w:pPr>
      <w:r>
        <w:t xml:space="preserve"> </w:t>
      </w:r>
      <w:r>
        <w:t xml:space="preserve"> </w:t>
      </w:r>
      <w:r>
        <w:t xml:space="preserve">### Find glykolipid-bindingsrest</w:t>
      </w:r>
    </w:p>
    <w:p>
      <w:pPr>
        <w:pStyle w:val="BodyText"/>
      </w:pPr>
      <w:r>
        <w:t xml:space="preserve">Hvilken aminosyrerest er kovalent bundet til glykolipidet?</w:t>
      </w:r>
    </w:p>
    <w:p>
      <w:pPr>
        <w:pStyle w:val="BodyText"/>
      </w:pPr>
      <w:r>
        <w:t xml:space="preserve"> </w:t>
      </w:r>
      <w:r>
        <w:t xml:space="preserve"> </w:t>
      </w:r>
      <w:r>
        <w:t xml:space="preserve">### Identificér GPI-membrananker</w:t>
      </w:r>
    </w:p>
    <w:p>
      <w:pPr>
        <w:pStyle w:val="BodyText"/>
      </w:pPr>
      <w:r>
        <w:t xml:space="preserve">Enzymet kan frigøres fra membranen ved behandling med en inositolspecifik phospholipase C. Hvordan kunne man forestille sig at det er forankret til membranen?</w:t>
      </w:r>
    </w:p>
    <w:p>
      <w:pPr>
        <w:pStyle w:val="BodyText"/>
      </w:pPr>
      <w:r>
        <w:t xml:space="preserve"> </w:t>
      </w:r>
      <w:r>
        <w:t xml:space="preserve"> </w:t>
      </w:r>
      <w:r>
        <w:t xml:space="preserve">### Beskriv GPI-ankermodifikation</w:t>
      </w:r>
    </w:p>
    <w:p>
      <w:pPr>
        <w:pStyle w:val="BodyText"/>
      </w:pPr>
      <w:r>
        <w:t xml:space="preserve">Foreslå hvordan det hydrofobe område nær C-terminalen kan være involveret modifikation af enzymet. Hvor i cellen finder denne modifikation sted?</w:t>
      </w:r>
    </w:p>
    <w:p>
      <w:pPr>
        <w:pStyle w:val="BodyText"/>
      </w:pPr>
      <w:r>
        <w:t xml:space="preserve"> </w:t>
      </w:r>
      <w:r>
        <w:t xml:space="preserve"> </w:t>
      </w:r>
      <w:r>
        <w:t xml:space="preserve">### Bestem enzymets membranlokalisering</w:t>
      </w:r>
    </w:p>
    <w:p>
      <w:pPr>
        <w:pStyle w:val="BodyText"/>
      </w:pPr>
      <w:r>
        <w:t xml:space="preserve">På hvilken side af plasmamembranen er 5’-nucleotidase lokaliseret? Diskutér mulige, biologiske roller for enzymet.</w:t>
      </w:r>
    </w:p>
    <w:bookmarkEnd w:id="65"/>
    <w:bookmarkEnd w:id="66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1" Target="media/rId11.png" /><Relationship Type="http://schemas.openxmlformats.org/officeDocument/2006/relationships/image" Id="rId17" Target="media/rId17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9" Target="media/rId39.png" /><Relationship Type="http://schemas.openxmlformats.org/officeDocument/2006/relationships/image" Id="rId47" Target="media/rId47.png" /><Relationship Type="http://schemas.openxmlformats.org/officeDocument/2006/relationships/image" Id="rId53" Target="media/rId53.png" /><Relationship Type="http://schemas.openxmlformats.org/officeDocument/2006/relationships/image" Id="rId59" Target="media/rId59.png" /><Relationship Type="http://schemas.openxmlformats.org/officeDocument/2006/relationships/image" Id="rId62" Target="media/rId62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TØ 17 – Lipider og cellemembraner</dc:title>
  <dc:creator/>
  <cp:keywords/>
  <dcterms:created xsi:type="dcterms:W3CDTF">2026-05-13T11:36:52Z</dcterms:created>
  <dcterms:modified xsi:type="dcterms:W3CDTF">2026-05-13T11:36:52Z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engines">
    <vt:lpwstr/>
  </property>
  <property fmtid="{D5CDD505-2E9C-101B-9397-08002B2CF9AE}" pid="4" name="header-includes">
    <vt:lpwstr/>
  </property>
  <property fmtid="{D5CDD505-2E9C-101B-9397-08002B2CF9AE}" pid="5" name="include-after">
    <vt:lpwstr/>
  </property>
  <property fmtid="{D5CDD505-2E9C-101B-9397-08002B2CF9AE}" pid="6" name="include-before">
    <vt:lpwstr/>
  </property>
  <property fmtid="{D5CDD505-2E9C-101B-9397-08002B2CF9AE}" pid="7" name="labels">
    <vt:lpwstr/>
  </property>
  <property fmtid="{D5CDD505-2E9C-101B-9397-08002B2CF9AE}" pid="8" name="teaching">
    <vt:lpwstr/>
  </property>
  <property fmtid="{D5CDD505-2E9C-101B-9397-08002B2CF9AE}" pid="9" name="toc-title">
    <vt:lpwstr>Table of contents</vt:lpwstr>
  </property>
</Properties>
</file>