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4.png" ContentType="image/png"/>
  <Override PartName="/word/media/rId10.png" ContentType="image/png"/>
  <Override PartName="/word/media/rId18.png" ContentType="image/png"/>
  <Override PartName="/word/media/rId27.png" ContentType="image/png"/>
  <Override PartName="/word/media/rId30.png" ContentType="image/png"/>
  <Override PartName="/word/media/rId33.png" ContentType="image/png"/>
  <Override PartName="/word/media/rId36.png" ContentType="image/png"/>
  <Override PartName="/word/media/rId39.png" ContentType="image/png"/>
  <Override PartName="/word/media/rId4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TØ 8 – Evolution og bioinformatik</w:t>
      </w:r>
    </w:p>
    <w:p>
      <w:r>
        <w:br w:type="page"/>
      </w:r>
    </w:p>
    <w:bookmarkStart w:id="44" w:name="opgave-1.-trnas-familiealbum"/>
    <w:p>
      <w:pPr>
        <w:pStyle w:val="Heading2"/>
      </w:pPr>
      <w:r>
        <w:t xml:space="preserve">Opgave 1. tRNAs familiealbum</w:t>
      </w:r>
    </w:p>
    <w:p>
      <w:pPr>
        <w:pStyle w:val="FirstParagraph"/>
      </w:pPr>
      <w:r>
        <w:t xml:space="preserve">Vi skal nu kigge på den bredere evolution af tRNA ved at finde en alignment af alle kendte tRNA-sekvenser i RNA familie-databasen (</w:t>
      </w:r>
      <w:hyperlink r:id="rId9">
        <w:r>
          <w:rPr>
            <w:rStyle w:val="Hyperlink"/>
            <w:b/>
            <w:bCs/>
          </w:rPr>
          <w:t xml:space="preserve">Rfam</w:t>
        </w:r>
      </w:hyperlink>
      <w:r>
        <w:t xml:space="preserve">).</w:t>
      </w:r>
    </w:p>
    <w:bookmarkStart w:id="13" w:name="undersøg-trna-bevarelse-i-rfam"/>
    <w:p>
      <w:pPr>
        <w:pStyle w:val="Heading3"/>
      </w:pPr>
      <w:r>
        <w:t xml:space="preserve">Undersøg tRNA-bevarelse i Rfam</w:t>
      </w:r>
    </w:p>
    <w:p>
      <w:pPr>
        <w:pStyle w:val="FirstParagraph"/>
      </w:pPr>
      <w:r>
        <w:t xml:space="preserve">Gå til Rfam-databasen og søg efter</w:t>
      </w:r>
      <w:r>
        <w:t xml:space="preserve"> </w:t>
      </w:r>
      <w:r>
        <w:t xml:space="preserve">“tRNA”</w:t>
      </w:r>
      <w:r>
        <w:t xml:space="preserve">. Tryk på</w:t>
      </w:r>
      <w:r>
        <w:t xml:space="preserve"> </w:t>
      </w:r>
      <w:r>
        <w:t xml:space="preserve">“Secondary structure”</w:t>
      </w:r>
      <w:r>
        <w:t xml:space="preserve"> </w:t>
      </w:r>
      <w:r>
        <w:t xml:space="preserve">under tRNA-familien. Klik på</w:t>
      </w:r>
      <w:r>
        <w:t xml:space="preserve"> </w:t>
      </w:r>
      <w:r>
        <w:t xml:space="preserve">“seqcons”</w:t>
      </w:r>
      <w:r>
        <w:t xml:space="preserve"> </w:t>
      </w:r>
      <w:r>
        <w:t xml:space="preserve">(sekvensbevarelse) og bpcons (baseparbevarelse). Hvad er mest bevaret, struktur eller sekvens?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1" name="Picture"/>
                  <a:graphic>
                    <a:graphicData uri="http://schemas.openxmlformats.org/drawingml/2006/picture">
                      <pic:pic>
                        <pic:nvPicPr>
                          <pic:cNvPr descr="/home/runner/work/structural_biology/structural_biology/.pixi/envs/default/share/quarto/formats/docx/tip.png" id="12" name="Picture"/>
                          <pic:cNvPicPr>
                            <a:picLocks noChangeArrowheads="1" noChangeAspect="1"/>
                          </pic:cNvPicPr>
                        </pic:nvPicPr>
                        <pic:blipFill>
                          <a:blip r:embed="rId1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Hint</w:t>
            </w:r>
          </w:p>
        </w:tc>
      </w:tr>
      <w:tr>
        <w:trPr>
          <w:cantSplit/>
        </w:trPr>
        <w:tc>
          <w:tcPr>
            <w:tcMar>
              <w:top w:w="108" w:type="dxa"/>
              <w:bottom w:w="108" w:type="dxa"/>
            </w:tcMar>
          </w:tcPr>
          <w:p>
            <w:pPr>
              <w:pStyle w:val="BodyText"/>
            </w:pPr>
            <w:pPr>
              <w:spacing w:before="16" w:after="16"/>
            </w:pPr>
            <w:r>
              <w:t xml:space="preserve">I nedre venstre hjørne ses et farvespektrum fra ikke bevaret (0) til stærkt bevaret (1).</w:t>
            </w:r>
          </w:p>
          <w:p/>
        </w:tc>
      </w:tr>
    </w:tbl>
    <w:bookmarkEnd w:id="13"/>
    <w:bookmarkStart w:id="21" w:name="analyser-rchie-plot-for-trna"/>
    <w:p>
      <w:pPr>
        <w:pStyle w:val="Heading3"/>
      </w:pPr>
      <w:r>
        <w:t xml:space="preserve">Analyser Rchie-plot for tRNA</w:t>
      </w:r>
    </w:p>
    <w:p>
      <w:pPr>
        <w:pStyle w:val="FirstParagraph"/>
      </w:pPr>
      <w:r>
        <w:t xml:space="preserve">Kig nu på</w:t>
      </w:r>
      <w:r>
        <w:t xml:space="preserve"> </w:t>
      </w:r>
      <w:r>
        <w:t xml:space="preserve">“Rchie”</w:t>
      </w:r>
      <w:r>
        <w:t xml:space="preserve"> </w:t>
      </w:r>
      <w:r>
        <w:t xml:space="preserve">plottet, der vises i boksen herunder. Plottet viser sekvenser (blok med farver, hvor hver vandrette linje repræsenterer en sekvens) og deres sekundær struktur (buer vist på toppen, der forbinder baser der danner basepar). Hvilke stems indeholder mest covariation? Kig ned gennem alignmenten – hvad adskiller nogle tRNA sekvenser fra andre?</w:t>
      </w:r>
    </w:p>
    <w:p>
      <w:pPr>
        <w:pStyle w:val="BodyText"/>
      </w:pPr>
      <w:r>
        <w:t xml:space="preserve">Læs om Rchie plots i boksen herunder.</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 name="Picture"/>
                  <a:graphic>
                    <a:graphicData uri="http://schemas.openxmlformats.org/drawingml/2006/picture">
                      <pic:pic>
                        <pic:nvPicPr>
                          <pic:cNvPr descr="/home/runner/work/structural_biology/structural_biology/.pixi/envs/default/share/quarto/formats/docx/note.png" id="16" name="Picture"/>
                          <pic:cNvPicPr>
                            <a:picLocks noChangeArrowheads="1" noChangeAspect="1"/>
                          </pic:cNvPicPr>
                        </pic:nvPicPr>
                        <pic:blipFill>
                          <a:blip r:embed="rId1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Rchie-plots</w:t>
            </w:r>
          </w:p>
        </w:tc>
      </w:tr>
      <w:tr>
        <w:trPr>
          <w:cantSplit/>
        </w:trPr>
        <w:tc>
          <w:tcPr>
            <w:tcMar>
              <w:top w:w="108" w:type="dxa"/>
              <w:bottom w:w="108" w:type="dxa"/>
            </w:tcMar>
          </w:tcPr>
          <w:p>
            <w:pPr>
              <w:pStyle w:val="BodyText"/>
            </w:pPr>
            <w:pPr>
              <w:spacing w:before="16"/>
            </w:pPr>
            <w:r>
              <w:t xml:space="preserve">Om de forskellige nukleotidfarver som skrevet i Rchie plots (fra</w:t>
            </w:r>
            <w:r>
              <w:t xml:space="preserve"> </w:t>
            </w:r>
            <w:hyperlink r:id="rId17">
              <w:r>
                <w:rPr>
                  <w:rStyle w:val="Hyperlink"/>
                </w:rPr>
                <w:t xml:space="preserve">e-RNA.org</w:t>
              </w:r>
            </w:hyperlink>
            <w:r>
              <w:t xml:space="preserve">)</w:t>
            </w:r>
          </w:p>
          <w:p>
            <w:pPr>
              <w:pStyle w:val="BodyText"/>
            </w:pPr>
            <w:r>
              <w:drawing>
                <wp:inline>
                  <wp:extent cx="3467100" cy="3344128"/>
                  <wp:effectExtent b="0" l="0" r="0" t="0"/>
                  <wp:docPr descr="" title="" id="19" name="Picture"/>
                  <a:graphic>
                    <a:graphicData uri="http://schemas.openxmlformats.org/drawingml/2006/picture">
                      <pic:pic>
                        <pic:nvPicPr>
                          <pic:cNvPr descr="media/image27.png" id="20" name="Picture"/>
                          <pic:cNvPicPr>
                            <a:picLocks noChangeArrowheads="1" noChangeAspect="1"/>
                          </pic:cNvPicPr>
                        </pic:nvPicPr>
                        <pic:blipFill>
                          <a:blip r:embed="rId18"/>
                          <a:stretch>
                            <a:fillRect/>
                          </a:stretch>
                        </pic:blipFill>
                        <pic:spPr bwMode="auto">
                          <a:xfrm>
                            <a:off x="0" y="0"/>
                            <a:ext cx="3467100" cy="3344128"/>
                          </a:xfrm>
                          <a:prstGeom prst="rect">
                            <a:avLst/>
                          </a:prstGeom>
                          <a:noFill/>
                          <a:ln w="9525">
                            <a:noFill/>
                            <a:headEnd/>
                            <a:tailEnd/>
                          </a:ln>
                        </pic:spPr>
                      </pic:pic>
                    </a:graphicData>
                  </a:graphic>
                </wp:inline>
              </w:drawing>
            </w:r>
          </w:p>
          <w:p>
            <w:pPr>
              <w:pStyle w:val="BodyText"/>
            </w:pPr>
            <w:r>
              <w:rPr>
                <w:b/>
                <w:bCs/>
              </w:rPr>
              <w:t xml:space="preserve">Covariation</w:t>
            </w:r>
            <w:r>
              <w:t xml:space="preserve"> </w:t>
            </w:r>
            <w:r>
              <w:t xml:space="preserve">(correlated variation): refererer til ethvert validt basepar (A:U, G:C, G:U) som adskiller sig fra det mest gængse observerede valide basepar. Det vil sige at der er kompensatoriske baseparændringer (mutationer), som stadig muliggør baseparring samt sekundær struktur.</w:t>
            </w:r>
          </w:p>
          <w:p>
            <w:pPr>
              <w:numPr>
                <w:ilvl w:val="0"/>
                <w:numId w:val="1001"/>
              </w:numPr>
            </w:pPr>
            <w:r>
              <w:rPr>
                <w:b/>
                <w:bCs/>
              </w:rPr>
              <w:t xml:space="preserve">One-sided covariation:</w:t>
            </w:r>
            <w:r>
              <w:t xml:space="preserve"> </w:t>
            </w:r>
            <w:r>
              <w:t xml:space="preserve">Den ene base i baseparret skifter, men baseparret kan stadig dannes, hvilket er muligt grundet GU wobble. Altså vi har en ændring fra G:C til G:U, fra A:U til G:U eller vice versa.</w:t>
            </w:r>
          </w:p>
          <w:p>
            <w:pPr>
              <w:numPr>
                <w:ilvl w:val="0"/>
                <w:numId w:val="1001"/>
              </w:numPr>
            </w:pPr>
            <w:r>
              <w:rPr>
                <w:b/>
                <w:bCs/>
              </w:rPr>
              <w:t xml:space="preserve">Two-sided covariation:</w:t>
            </w:r>
            <w:r>
              <w:t xml:space="preserve"> </w:t>
            </w:r>
            <w:r>
              <w:t xml:space="preserve">Begge baser i baseparret adskiller sig fra det mest gængse observerede basepar på denne position. Her er der mange muligheder. Kan både være transitioner og transversioner.</w:t>
            </w:r>
          </w:p>
          <w:p>
            <w:pPr>
              <w:pStyle w:val="FirstParagraph"/>
            </w:pPr>
            <w:r>
              <w:rPr>
                <w:b/>
                <w:bCs/>
              </w:rPr>
              <w:t xml:space="preserve">Invalid:</w:t>
            </w:r>
            <w:r>
              <w:t xml:space="preserve"> </w:t>
            </w:r>
            <w:r>
              <w:t xml:space="preserve">alle basepar der ikke er enten A:U, G:C eller G:U</w:t>
            </w:r>
          </w:p>
          <w:p>
            <w:pPr>
              <w:pStyle w:val="BodyText"/>
            </w:pPr>
            <w:r>
              <w:rPr>
                <w:b/>
                <w:bCs/>
              </w:rPr>
              <w:t xml:space="preserve">Ambiguous:</w:t>
            </w:r>
            <w:r>
              <w:t xml:space="preserve"> </w:t>
            </w:r>
            <w:r>
              <w:t xml:space="preserve">Enhver base, som ikke er A, C, G, T eller U.</w:t>
            </w:r>
          </w:p>
          <w:p>
            <w:pPr>
              <w:pStyle w:val="BodyText"/>
            </w:pPr>
            <w:pPr>
              <w:spacing w:after="16"/>
            </w:pPr>
            <w:r>
              <w:rPr>
                <w:b/>
                <w:bCs/>
              </w:rPr>
              <w:t xml:space="preserve">Unpaired:</w:t>
            </w:r>
            <w:r>
              <w:t xml:space="preserve"> </w:t>
            </w:r>
            <w:r>
              <w:t xml:space="preserve">De uparrede. Loops eller bulges.</w:t>
            </w:r>
          </w:p>
          <w:p/>
        </w:tc>
      </w:tr>
    </w:tbl>
    <w:p>
      <w:pPr>
        <w:pStyle w:val="BodyText"/>
      </w:pPr>
      <w:r>
        <w:t xml:space="preserve">Vi skal nu undersøge de tRNA sekvenser der adskiller sig. Følgende tRNA-sekvenser er downloadet fra Rfam: </w:t>
      </w:r>
    </w:p>
    <w:p>
      <w:pPr>
        <w:pStyle w:val="SourceCode"/>
      </w:pPr>
      <w:r>
        <w:rPr>
          <w:rStyle w:val="NormalTok"/>
        </w:rPr>
        <w:t xml:space="preserve">&gt;AB017063.1/58819-58900</w:t>
      </w:r>
      <w:r>
        <w:br/>
      </w:r>
      <w:r>
        <w:rPr>
          <w:rStyle w:val="NormalTok"/>
        </w:rPr>
        <w:t xml:space="preserve">GUGGACGUGCCGGAGU-GGUU-AUCGGGCAUGACUAGAAAUCAUGUGGGC-UUU--GCCCG-CGCAGGUUCGAAUCCUGCCGUUCACG</w:t>
      </w:r>
      <w:r>
        <w:br/>
      </w:r>
      <w:r>
        <w:rPr>
          <w:rStyle w:val="NormalTok"/>
        </w:rPr>
        <w:t xml:space="preserve">&gt;AB027572.1/4261-4342</w:t>
      </w:r>
      <w:r>
        <w:br/>
      </w:r>
      <w:r>
        <w:rPr>
          <w:rStyle w:val="NormalTok"/>
        </w:rPr>
        <w:t xml:space="preserve">GGGUCGAUGCCCGAGU-GGUUAAUGGGGACGGACUGUAAAUUCGUUGAC--AAU---GUCUACGCUGGUUCAAAUCCAGCUCGGCCCA</w:t>
      </w:r>
      <w:r>
        <w:br/>
      </w:r>
      <w:r>
        <w:rPr>
          <w:rStyle w:val="NormalTok"/>
        </w:rPr>
        <w:t xml:space="preserve">&gt;AB031211.1/7799-7884</w:t>
      </w:r>
      <w:r>
        <w:br/>
      </w:r>
      <w:r>
        <w:rPr>
          <w:rStyle w:val="NormalTok"/>
        </w:rPr>
        <w:t xml:space="preserve">GCCGGGGUGGUGGAAUUGGCA-GACACACAGGACUUAAAAUCCUGCGGUAGGUGACUACCG-UGCCGGUUCAAGUCCGGCCCUCGGCA</w:t>
      </w:r>
    </w:p>
    <w:bookmarkEnd w:id="21"/>
    <w:bookmarkStart w:id="42" w:name="fold-atypiske-sekvenser-med-rnaalifold"/>
    <w:p>
      <w:pPr>
        <w:pStyle w:val="Heading3"/>
      </w:pPr>
      <w:r>
        <w:t xml:space="preserve">Fold atypiske sekvenser med RNAalifold</w:t>
      </w:r>
    </w:p>
    <w:p>
      <w:pPr>
        <w:pStyle w:val="FirstParagraph"/>
      </w:pPr>
      <w:r>
        <w:t xml:space="preserve">Prøv at folde dem i</w:t>
      </w:r>
      <w:r>
        <w:t xml:space="preserve"> </w:t>
      </w:r>
      <w:hyperlink r:id="rId22">
        <w:r>
          <w:rPr>
            <w:rStyle w:val="Hyperlink"/>
            <w:b/>
            <w:bCs/>
          </w:rPr>
          <w:t xml:space="preserve">RNAalifold server</w:t>
        </w:r>
      </w:hyperlink>
      <w:r>
        <w:t xml:space="preserve">. Hvordan adskiller strukturen sig fra tRNA? Er denne struktur understøttet af co-variationer?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3" name="Picture"/>
                  <a:graphic>
                    <a:graphicData uri="http://schemas.openxmlformats.org/drawingml/2006/picture">
                      <pic:pic>
                        <pic:nvPicPr>
                          <pic:cNvPr descr="/home/runner/work/structural_biology/structural_biology/.pixi/envs/default/share/quarto/formats/docx/tip.png" id="24" name="Picture"/>
                          <pic:cNvPicPr>
                            <a:picLocks noChangeArrowheads="1" noChangeAspect="1"/>
                          </pic:cNvPicPr>
                        </pic:nvPicPr>
                        <pic:blipFill>
                          <a:blip r:embed="rId1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Hint</w:t>
            </w:r>
          </w:p>
        </w:tc>
      </w:tr>
      <w:tr>
        <w:trPr>
          <w:cantSplit/>
        </w:trPr>
        <w:tc>
          <w:tcPr>
            <w:tcMar>
              <w:top w:w="108" w:type="dxa"/>
              <w:bottom w:w="108" w:type="dxa"/>
            </w:tcMar>
          </w:tcPr>
          <w:p>
            <w:pPr>
              <w:pStyle w:val="BodyText"/>
            </w:pPr>
            <w:pPr>
              <w:spacing w:before="16" w:after="16"/>
            </w:pPr>
            <w:r>
              <w:t xml:space="preserve">Der ses en masse undermenuer, hvor man kan vælge foldningsalgoritme mm. Disse skal bare ignoreres. De sorte basepar betyder mismatches i alle sekvenser.</w:t>
            </w:r>
          </w:p>
          <w:p/>
        </w:tc>
      </w:tr>
    </w:tbl>
    <w:p>
      <w:pPr>
        <w:pStyle w:val="BodyText"/>
      </w:pPr>
      <w:r>
        <w:t xml:space="preserve">Læs om RNAalifold output i boksen herunder.</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5" name="Picture"/>
                  <a:graphic>
                    <a:graphicData uri="http://schemas.openxmlformats.org/drawingml/2006/picture">
                      <pic:pic>
                        <pic:nvPicPr>
                          <pic:cNvPr descr="/home/runner/work/structural_biology/structural_biology/.pixi/envs/default/share/quarto/formats/docx/note.png" id="26" name="Picture"/>
                          <pic:cNvPicPr>
                            <a:picLocks noChangeArrowheads="1" noChangeAspect="1"/>
                          </pic:cNvPicPr>
                        </pic:nvPicPr>
                        <pic:blipFill>
                          <a:blip r:embed="rId1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RNAalifold output</w:t>
            </w:r>
          </w:p>
        </w:tc>
      </w:tr>
      <w:tr>
        <w:trPr>
          <w:cantSplit/>
        </w:trPr>
        <w:tc>
          <w:tcPr>
            <w:tcMar>
              <w:top w:w="108" w:type="dxa"/>
              <w:bottom w:w="108" w:type="dxa"/>
            </w:tcMar>
          </w:tcPr>
          <w:p>
            <w:pPr>
              <w:pStyle w:val="BodyText"/>
            </w:pPr>
            <w:pPr>
              <w:spacing w:before="16"/>
            </w:pPr>
            <w:r>
              <w:t xml:space="preserve">Én ting der her er værd at bemærke, er at sekvensen, der vises i sekundærstrukturen, er et gennemsnit af de tre alignede, hvor den mest forekomne base typisk er den der vises.</w:t>
            </w:r>
            <w:r>
              <w:br/>
            </w:r>
            <w:r>
              <w:t xml:space="preserve">Dette er også grunden til at der ses nogle atypiske basepar (f.eks. C:A, G:G og C:C), men se bort fra det.</w:t>
            </w:r>
          </w:p>
          <w:p>
            <w:pPr>
              <w:pStyle w:val="SourceCode"/>
            </w:pPr>
            <w:r>
              <w:rPr>
                <w:rStyle w:val="NormalTok"/>
              </w:rPr>
              <w:t xml:space="preserve">&gt;seq1 GUGGACGUGCCGGAGU-GGUU-AUCGGGCAUGACUAGAAAUCAUGUGGGC-UUU--GCCCGCGCAGGUUCGAAUCCUGCCGUUCACG-</w:t>
            </w:r>
            <w:r>
              <w:br/>
            </w:r>
            <w:r>
              <w:rPr>
                <w:rStyle w:val="NormalTok"/>
              </w:rPr>
              <w:t xml:space="preserve">&gt;seq2 GGGUCGAUGCCCGAGU-GGUUAAUGGGGACGGACUGUAAAUUCGUUGAC--AAU---GUCUACGCUGGUUCAAAUCCAGCUCGGCCCA</w:t>
            </w:r>
            <w:r>
              <w:br/>
            </w:r>
            <w:r>
              <w:rPr>
                <w:rStyle w:val="NormalTok"/>
              </w:rPr>
              <w:t xml:space="preserve">&gt;seq3 GCCGGGGUGGUGGAAUUGGCA-GACACACAGGACUUAAAAUCCUGCGGUAGGUGACUACCGUGCCGGUUCAAGUCCGGCCCUCGGCA-</w:t>
            </w:r>
            <w:r>
              <w:br/>
            </w:r>
            <w:r>
              <w:rPr>
                <w:rStyle w:val="NormalTok"/>
              </w:rPr>
              <w:t xml:space="preserve">&gt;output GCGGAGGUGCCGGAGU-GGUU-AUCGGGCAGGACUAAAAAUCCUGUGGC--AUU---ACCGAGCCGGUUCAAAUCCCGCCCUCGACA-</w:t>
            </w:r>
            <w:r>
              <w:br/>
            </w:r>
            <w:r>
              <w:rPr>
                <w:rStyle w:val="NormalTok"/>
              </w:rPr>
              <w:t xml:space="preserve">(((((((..((((..........))))((((((.......))))))(((((....)))))..(((((.......))))))))))))..</w:t>
            </w:r>
          </w:p>
          <w:p>
            <w:pPr>
              <w:pStyle w:val="FirstParagraph"/>
            </w:pPr>
            <w:r>
              <w:drawing>
                <wp:inline>
                  <wp:extent cx="5067300" cy="2752560"/>
                  <wp:effectExtent b="0" l="0" r="0" t="0"/>
                  <wp:docPr descr="" title="" id="28" name="Picture"/>
                  <a:graphic>
                    <a:graphicData uri="http://schemas.openxmlformats.org/drawingml/2006/picture">
                      <pic:pic>
                        <pic:nvPicPr>
                          <pic:cNvPr descr="media/image28.png" id="29" name="Picture"/>
                          <pic:cNvPicPr>
                            <a:picLocks noChangeArrowheads="1" noChangeAspect="1"/>
                          </pic:cNvPicPr>
                        </pic:nvPicPr>
                        <pic:blipFill>
                          <a:blip r:embed="rId27"/>
                          <a:stretch>
                            <a:fillRect/>
                          </a:stretch>
                        </pic:blipFill>
                        <pic:spPr bwMode="auto">
                          <a:xfrm>
                            <a:off x="0" y="0"/>
                            <a:ext cx="5067300" cy="2752560"/>
                          </a:xfrm>
                          <a:prstGeom prst="rect">
                            <a:avLst/>
                          </a:prstGeom>
                          <a:noFill/>
                          <a:ln w="9525">
                            <a:noFill/>
                            <a:headEnd/>
                            <a:tailEnd/>
                          </a:ln>
                        </pic:spPr>
                      </pic:pic>
                    </a:graphicData>
                  </a:graphic>
                </wp:inline>
              </w:drawing>
            </w:r>
          </w:p>
          <w:p>
            <w:pPr>
              <w:pStyle w:val="BodyText"/>
            </w:pPr>
            <w:r>
              <w:t xml:space="preserve">De sorte basepar på strukturen vist under</w:t>
            </w:r>
            <w:r>
              <w:t xml:space="preserve"> </w:t>
            </w:r>
            <w:r>
              <w:rPr>
                <w:b/>
                <w:bCs/>
              </w:rPr>
              <w:t xml:space="preserve">Graphical output</w:t>
            </w:r>
            <w:r>
              <w:t xml:space="preserve">, betyder at der kan forekomme inkompatible basepar (mismatches) på denne position i mindst én af sekvenserne og ikke nødvendigvis at der er mismatches i alle sekvenserne.</w:t>
            </w:r>
          </w:p>
          <w:p>
            <w:pPr>
              <w:pStyle w:val="BodyText"/>
            </w:pPr>
            <w:r>
              <w:drawing>
                <wp:inline>
                  <wp:extent cx="2400300" cy="2623367"/>
                  <wp:effectExtent b="0" l="0" r="0" t="0"/>
                  <wp:docPr descr="" title="" id="31" name="Picture"/>
                  <a:graphic>
                    <a:graphicData uri="http://schemas.openxmlformats.org/drawingml/2006/picture">
                      <pic:pic>
                        <pic:nvPicPr>
                          <pic:cNvPr descr="media/image29.png" id="32" name="Picture"/>
                          <pic:cNvPicPr>
                            <a:picLocks noChangeArrowheads="1" noChangeAspect="1"/>
                          </pic:cNvPicPr>
                        </pic:nvPicPr>
                        <pic:blipFill>
                          <a:blip r:embed="rId30"/>
                          <a:stretch>
                            <a:fillRect/>
                          </a:stretch>
                        </pic:blipFill>
                        <pic:spPr bwMode="auto">
                          <a:xfrm>
                            <a:off x="0" y="0"/>
                            <a:ext cx="2400300" cy="2623367"/>
                          </a:xfrm>
                          <a:prstGeom prst="rect">
                            <a:avLst/>
                          </a:prstGeom>
                          <a:noFill/>
                          <a:ln w="9525">
                            <a:noFill/>
                            <a:headEnd/>
                            <a:tailEnd/>
                          </a:ln>
                        </pic:spPr>
                      </pic:pic>
                    </a:graphicData>
                  </a:graphic>
                </wp:inline>
              </w:drawing>
            </w:r>
          </w:p>
          <w:p>
            <w:pPr>
              <w:pStyle w:val="BodyText"/>
            </w:pPr>
            <w:r>
              <w:t xml:space="preserve">En bedre og mere detaljeret præsentation af tRNA-femkløveren kan ses ved at vælge PDF under</w:t>
            </w:r>
            <w:r>
              <w:t xml:space="preserve"> </w:t>
            </w:r>
            <w:r>
              <w:rPr>
                <w:b/>
                <w:bCs/>
              </w:rPr>
              <w:t xml:space="preserve">Download options</w:t>
            </w:r>
            <w:r>
              <w:t xml:space="preserve"> </w:t>
            </w:r>
            <w:r>
              <w:t xml:space="preserve">ud for ’</w:t>
            </w:r>
            <w:r>
              <w:rPr>
                <w:i/>
                <w:iCs/>
              </w:rPr>
              <w:t xml:space="preserve">structure drawing with conservation annotation’</w:t>
            </w:r>
            <w:r>
              <w:t xml:space="preserve"> </w:t>
            </w:r>
            <w:r>
              <w:t xml:space="preserve">under</w:t>
            </w:r>
            <w:r>
              <w:t xml:space="preserve"> </w:t>
            </w:r>
            <w:r>
              <w:rPr>
                <w:b/>
                <w:bCs/>
              </w:rPr>
              <w:t xml:space="preserve">Image description</w:t>
            </w:r>
            <w:r>
              <w:t xml:space="preserve">, som det ses herunder:</w:t>
            </w:r>
          </w:p>
          <w:p>
            <w:pPr>
              <w:pStyle w:val="BodyText"/>
            </w:pPr>
            <w:r>
              <w:drawing>
                <wp:inline>
                  <wp:extent cx="2400300" cy="2914650"/>
                  <wp:effectExtent b="0" l="0" r="0" t="0"/>
                  <wp:docPr descr="" title="" id="34" name="Picture"/>
                  <a:graphic>
                    <a:graphicData uri="http://schemas.openxmlformats.org/drawingml/2006/picture">
                      <pic:pic>
                        <pic:nvPicPr>
                          <pic:cNvPr descr="media/image30.png" id="35" name="Picture"/>
                          <pic:cNvPicPr>
                            <a:picLocks noChangeArrowheads="1" noChangeAspect="1"/>
                          </pic:cNvPicPr>
                        </pic:nvPicPr>
                        <pic:blipFill>
                          <a:blip r:embed="rId33"/>
                          <a:stretch>
                            <a:fillRect/>
                          </a:stretch>
                        </pic:blipFill>
                        <pic:spPr bwMode="auto">
                          <a:xfrm>
                            <a:off x="0" y="0"/>
                            <a:ext cx="2400300" cy="2914650"/>
                          </a:xfrm>
                          <a:prstGeom prst="rect">
                            <a:avLst/>
                          </a:prstGeom>
                          <a:noFill/>
                          <a:ln w="9525">
                            <a:noFill/>
                            <a:headEnd/>
                            <a:tailEnd/>
                          </a:ln>
                        </pic:spPr>
                      </pic:pic>
                    </a:graphicData>
                  </a:graphic>
                </wp:inline>
              </w:drawing>
            </w:r>
          </w:p>
          <w:p>
            <w:pPr>
              <w:pStyle w:val="BodyText"/>
            </w:pPr>
            <w:r>
              <w:drawing>
                <wp:inline>
                  <wp:extent cx="3467100" cy="1610368"/>
                  <wp:effectExtent b="0" l="0" r="0" t="0"/>
                  <wp:docPr descr="" title="" id="37" name="Picture"/>
                  <a:graphic>
                    <a:graphicData uri="http://schemas.openxmlformats.org/drawingml/2006/picture">
                      <pic:pic>
                        <pic:nvPicPr>
                          <pic:cNvPr descr="media/image31.png" id="38" name="Picture"/>
                          <pic:cNvPicPr>
                            <a:picLocks noChangeArrowheads="1" noChangeAspect="1"/>
                          </pic:cNvPicPr>
                        </pic:nvPicPr>
                        <pic:blipFill>
                          <a:blip r:embed="rId36"/>
                          <a:stretch>
                            <a:fillRect/>
                          </a:stretch>
                        </pic:blipFill>
                        <pic:spPr bwMode="auto">
                          <a:xfrm>
                            <a:off x="0" y="0"/>
                            <a:ext cx="3467100" cy="1610368"/>
                          </a:xfrm>
                          <a:prstGeom prst="rect">
                            <a:avLst/>
                          </a:prstGeom>
                          <a:noFill/>
                          <a:ln w="9525">
                            <a:noFill/>
                            <a:headEnd/>
                            <a:tailEnd/>
                          </a:ln>
                        </pic:spPr>
                      </pic:pic>
                    </a:graphicData>
                  </a:graphic>
                </wp:inline>
              </w:drawing>
            </w:r>
          </w:p>
          <w:p>
            <w:pPr>
              <w:pStyle w:val="BodyText"/>
            </w:pPr>
            <w:r>
              <w:t xml:space="preserve">Herved fås en repræsentation med farvning efter antal af forskellige basepar på hver position samt en graduering i gennemsigtighed efter antallet af inkompatible basepar.</w:t>
            </w:r>
          </w:p>
          <w:p>
            <w:pPr>
              <w:pStyle w:val="BodyText"/>
            </w:pPr>
            <w:r>
              <w:t xml:space="preserve">Denne kan ydermere akkompagneres med alignment i samme farvekodning og dot-bracket notation ved at vælge PDF ud for</w:t>
            </w:r>
            <w:r>
              <w:t xml:space="preserve"> </w:t>
            </w:r>
            <w:r>
              <w:rPr>
                <w:b/>
                <w:bCs/>
              </w:rPr>
              <w:t xml:space="preserve">structure annotated alignment</w:t>
            </w:r>
            <w:r>
              <w:t xml:space="preserve">.</w:t>
            </w:r>
          </w:p>
          <w:p>
            <w:pPr>
              <w:pStyle w:val="BodyText"/>
            </w:pPr>
            <w:pPr>
              <w:spacing w:after="16"/>
            </w:pPr>
            <w:r>
              <w:drawing>
                <wp:inline>
                  <wp:extent cx="5067300" cy="1361150"/>
                  <wp:effectExtent b="0" l="0" r="0" t="0"/>
                  <wp:docPr descr="" title="" id="40" name="Picture"/>
                  <a:graphic>
                    <a:graphicData uri="http://schemas.openxmlformats.org/drawingml/2006/picture">
                      <pic:pic>
                        <pic:nvPicPr>
                          <pic:cNvPr descr="media/image32.png" id="41" name="Picture"/>
                          <pic:cNvPicPr>
                            <a:picLocks noChangeArrowheads="1" noChangeAspect="1"/>
                          </pic:cNvPicPr>
                        </pic:nvPicPr>
                        <pic:blipFill>
                          <a:blip r:embed="rId39"/>
                          <a:stretch>
                            <a:fillRect/>
                          </a:stretch>
                        </pic:blipFill>
                        <pic:spPr bwMode="auto">
                          <a:xfrm>
                            <a:off x="0" y="0"/>
                            <a:ext cx="5067300" cy="1361150"/>
                          </a:xfrm>
                          <a:prstGeom prst="rect">
                            <a:avLst/>
                          </a:prstGeom>
                          <a:noFill/>
                          <a:ln w="9525">
                            <a:noFill/>
                            <a:headEnd/>
                            <a:tailEnd/>
                          </a:ln>
                        </pic:spPr>
                      </pic:pic>
                    </a:graphicData>
                  </a:graphic>
                </wp:inline>
              </w:drawing>
            </w:r>
          </w:p>
          <w:p/>
        </w:tc>
      </w:tr>
    </w:tbl>
    <w:bookmarkEnd w:id="42"/>
    <w:bookmarkStart w:id="43" w:name="sammenlign-selenocysteine-trna-struktur"/>
    <w:p>
      <w:pPr>
        <w:pStyle w:val="Heading3"/>
      </w:pPr>
      <w:r>
        <w:t xml:space="preserve">Sammenlign selenocysteine tRNA-struktur</w:t>
      </w:r>
    </w:p>
    <w:p>
      <w:pPr>
        <w:pStyle w:val="FirstParagraph"/>
      </w:pPr>
      <w:r>
        <w:t xml:space="preserve">Selenocysteine tRNA har en lignende struktur. Kig på</w:t>
      </w:r>
      <w:r>
        <w:t xml:space="preserve"> </w:t>
      </w:r>
      <w:r>
        <w:rPr>
          <w:rStyle w:val="VerbatimChar"/>
        </w:rPr>
        <w:t xml:space="preserve">tRNA-Sec</w:t>
      </w:r>
      <w:r>
        <w:t xml:space="preserve"> </w:t>
      </w:r>
      <w:r>
        <w:t xml:space="preserve">familie på Rfam og sammenlign R-chie plottet. Undersøg nu hvordan den 3-dimensionelle struktur af dette tRNA ser ud. Klik på</w:t>
      </w:r>
      <w:r>
        <w:t xml:space="preserve"> </w:t>
      </w:r>
      <w:r>
        <w:t xml:space="preserve">“Structures”</w:t>
      </w:r>
      <w:r>
        <w:t xml:space="preserve"> </w:t>
      </w:r>
      <w:r>
        <w:t xml:space="preserve">menu-punktet og klik på en af PDB ID’erne (f.eks. 3a3a), der tager dig til PDB. Åben strukturen i PyMOL med</w:t>
      </w:r>
      <w:r>
        <w:t xml:space="preserve"> </w:t>
      </w:r>
      <w:r>
        <w:rPr>
          <w:rStyle w:val="VerbatimChar"/>
        </w:rPr>
        <w:t xml:space="preserve">fetch 3a3a</w:t>
      </w:r>
      <w:r>
        <w:t xml:space="preserve">. Hvor sidder den extra hairpin på den klassiske L-form af tRNA?</w:t>
      </w:r>
    </w:p>
    <w:p>
      <w:r>
        <w:br w:type="page"/>
      </w:r>
    </w:p>
    <w:bookmarkEnd w:id="43"/>
    <w:bookmarkEnd w:id="44"/>
    <w:bookmarkStart w:id="62" w:name="opgave-2.-den-forsvundne-rna-replikase"/>
    <w:p>
      <w:pPr>
        <w:pStyle w:val="Heading2"/>
      </w:pPr>
      <w:r>
        <w:t xml:space="preserve">Opgave 2. Den forsvundne RNA replikase</w:t>
      </w:r>
    </w:p>
    <w:p>
      <w:pPr>
        <w:pStyle w:val="FirstParagraph"/>
      </w:pPr>
      <w:r>
        <w:t xml:space="preserve">For at sandsynliggøre</w:t>
      </w:r>
      <w:r>
        <w:t xml:space="preserve"> </w:t>
      </w:r>
      <w:r>
        <w:t xml:space="preserve">“RNA world”</w:t>
      </w:r>
      <w:r>
        <w:t xml:space="preserve"> </w:t>
      </w:r>
      <w:r>
        <w:t xml:space="preserve">hypotesen prøvede forskere omkring 1993 at skabe et RNA polymerase ribozym (</w:t>
      </w:r>
      <w:hyperlink r:id="rId45">
        <w:r>
          <w:rPr>
            <w:rStyle w:val="Hyperlink"/>
            <w:b/>
            <w:bCs/>
          </w:rPr>
          <w:t xml:space="preserve">Bartel &amp; Szostak, 1993</w:t>
        </w:r>
      </w:hyperlink>
      <w:r>
        <w:t xml:space="preserve">) ved at bruge en selektionsmetode, hvor man laver et bibliotek af sekvenser og selekterer for funktion (se Berg, udgave 10, afsnit 10.4). Ved at selektere for ligeringsaktivitet fandt de en RNA ligase, der senere er blevet udviklet til at syntetisere længere RNA-sekvenser (</w:t>
      </w:r>
      <w:hyperlink r:id="rId46">
        <w:r>
          <w:rPr>
            <w:rStyle w:val="Hyperlink"/>
            <w:b/>
            <w:bCs/>
          </w:rPr>
          <w:t xml:space="preserve">Horning &amp; Joyce, 2016</w:t>
        </w:r>
      </w:hyperlink>
      <w:r>
        <w:t xml:space="preserve">). Til selektionseksperimentet blev der indsat en tilfældig sekvens (et bibliotek) på 220 nukleotider, der syntetiseres kemisk ved tilfældigt at indsætte en af de fire baser på hver af 220 positioner. Figur A viser en oversigt over dette eksperiment, hvor den tilfældige sekvens er annoteret som N220.</w:t>
      </w:r>
    </w:p>
    <w:p>
      <w:pPr>
        <w:pStyle w:val="BodyText"/>
      </w:pPr>
      <w:r>
        <w:drawing>
          <wp:inline>
            <wp:extent cx="3467100" cy="4408828"/>
            <wp:effectExtent b="0" l="0" r="0" t="0"/>
            <wp:docPr descr="" title="" id="48" name="Picture"/>
            <a:graphic>
              <a:graphicData uri="http://schemas.openxmlformats.org/drawingml/2006/picture">
                <pic:pic>
                  <pic:nvPicPr>
                    <pic:cNvPr descr="media/image33.png" id="49" name="Picture"/>
                    <pic:cNvPicPr>
                      <a:picLocks noChangeArrowheads="1" noChangeAspect="1"/>
                    </pic:cNvPicPr>
                  </pic:nvPicPr>
                  <pic:blipFill>
                    <a:blip r:embed="rId47"/>
                    <a:stretch>
                      <a:fillRect/>
                    </a:stretch>
                  </pic:blipFill>
                  <pic:spPr bwMode="auto">
                    <a:xfrm>
                      <a:off x="0" y="0"/>
                      <a:ext cx="3467100" cy="4408828"/>
                    </a:xfrm>
                    <a:prstGeom prst="rect">
                      <a:avLst/>
                    </a:prstGeom>
                    <a:noFill/>
                    <a:ln w="9525">
                      <a:noFill/>
                      <a:headEnd/>
                      <a:tailEnd/>
                    </a:ln>
                  </pic:spPr>
                </pic:pic>
              </a:graphicData>
            </a:graphic>
          </wp:inline>
        </w:drawing>
      </w:r>
    </w:p>
    <w:bookmarkStart w:id="52" w:name="beregn-rna-biblioteksstørrelse-og-masse"/>
    <w:p>
      <w:pPr>
        <w:pStyle w:val="Heading3"/>
      </w:pPr>
      <w:r>
        <w:t xml:space="preserve">Beregn RNA-biblioteksstørrelse og masse</w:t>
      </w:r>
    </w:p>
    <w:p>
      <w:pPr>
        <w:pStyle w:val="FirstParagraph"/>
      </w:pPr>
      <w:r>
        <w:t xml:space="preserve">Hvor meget RNA skal du have i gram hvis biblioteket skal have mindst et molekyle med hver sin sekvens? I det oprindelige eksperiment blev der brugt et bibliotek med 1,6 * 10</w:t>
      </w:r>
      <w:r>
        <w:rPr>
          <w:vertAlign w:val="superscript"/>
        </w:rPr>
        <w:t xml:space="preserve">15</w:t>
      </w:r>
      <w:r>
        <w:t xml:space="preserve"> </w:t>
      </w:r>
      <w:r>
        <w:t xml:space="preserve">forskellige sekvenser. Hvor mange gram skal bruges til dette bibliotek? Hvad betyder det at de fandt en RNA ligase med dette bibliotek for sandsynligheden for at RNA ligaser kan udvikles?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0" name="Picture"/>
                  <a:graphic>
                    <a:graphicData uri="http://schemas.openxmlformats.org/drawingml/2006/picture">
                      <pic:pic>
                        <pic:nvPicPr>
                          <pic:cNvPr descr="/home/runner/work/structural_biology/structural_biology/.pixi/envs/default/share/quarto/formats/docx/tip.png" id="51" name="Picture"/>
                          <pic:cNvPicPr>
                            <a:picLocks noChangeArrowheads="1" noChangeAspect="1"/>
                          </pic:cNvPicPr>
                        </pic:nvPicPr>
                        <pic:blipFill>
                          <a:blip r:embed="rId1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Hint</w:t>
            </w:r>
          </w:p>
        </w:tc>
      </w:tr>
      <w:tr>
        <w:trPr>
          <w:cantSplit/>
        </w:trPr>
        <w:tc>
          <w:tcPr>
            <w:tcMar>
              <w:top w:w="108" w:type="dxa"/>
              <w:bottom w:w="108" w:type="dxa"/>
            </w:tcMar>
          </w:tcPr>
          <w:p>
            <w:pPr>
              <w:pStyle w:val="BodyText"/>
            </w:pPr>
            <w:pPr>
              <w:spacing w:before="16" w:after="16"/>
            </w:pPr>
            <w:r>
              <w:t xml:space="preserve">Den gennemsnitlige molekylevægt for et nukleotid er 330 g/mol og Avogadros tal er 6,0221415 * 10</w:t>
            </w:r>
            <w:r>
              <w:rPr>
                <w:vertAlign w:val="superscript"/>
              </w:rPr>
              <w:t xml:space="preserve">23</w:t>
            </w:r>
            <w:r>
              <w:t xml:space="preserve"> </w:t>
            </w:r>
            <w:r>
              <w:t xml:space="preserve">mol</w:t>
            </w:r>
            <w:r>
              <w:rPr>
                <w:vertAlign w:val="superscript"/>
              </w:rPr>
              <w:t xml:space="preserve">-1</w:t>
            </w:r>
            <w:r>
              <w:t xml:space="preserve">.</w:t>
            </w:r>
          </w:p>
          <w:p/>
        </w:tc>
      </w:tr>
    </w:tbl>
    <w:bookmarkEnd w:id="52"/>
    <w:bookmarkStart w:id="53" w:name="forudsig-konsensus-sekundær-struktur"/>
    <w:p>
      <w:pPr>
        <w:pStyle w:val="Heading3"/>
      </w:pPr>
      <w:r>
        <w:t xml:space="preserve">Forudsig konsensus sekundær struktur</w:t>
      </w:r>
    </w:p>
    <w:p>
      <w:pPr>
        <w:pStyle w:val="FirstParagraph"/>
      </w:pPr>
      <w:r>
        <w:t xml:space="preserve">Efter ti runder af selektion og amplifikation blev biblioteket sekventeret og der blev fundet flere forskellige familier af sekvenser med ligaseaktivitet. En af familierne (klasse I), der havde god ligeringsaktivitet, er vist herunder som en sekvensaligment. </w:t>
      </w:r>
    </w:p>
    <w:p>
      <w:pPr>
        <w:pStyle w:val="SourceCode"/>
      </w:pPr>
      <w:r>
        <w:rPr>
          <w:rStyle w:val="NormalTok"/>
        </w:rPr>
        <w:t xml:space="preserve">&gt;b1-10</w:t>
      </w:r>
      <w:r>
        <w:br/>
      </w:r>
      <w:r>
        <w:rPr>
          <w:rStyle w:val="NormalTok"/>
        </w:rPr>
        <w:t xml:space="preserve">GGAACACUAUCCGACUGGCACCGUAGAAUACAAAUGUGCCCUCAGAGCUUGGGAAGAUCCUUGCAGGAUCCAGGGGAGGCACCCCCCGGUGGCUUUAACGCCAACGUUCUCAACAAUAGUGGA---</w:t>
      </w:r>
      <w:r>
        <w:br/>
      </w:r>
      <w:r>
        <w:rPr>
          <w:rStyle w:val="NormalTok"/>
        </w:rPr>
        <w:t xml:space="preserve">&gt;b1-105</w:t>
      </w:r>
      <w:r>
        <w:br/>
      </w:r>
      <w:r>
        <w:rPr>
          <w:rStyle w:val="NormalTok"/>
        </w:rPr>
        <w:t xml:space="preserve">GGAACACUCUACGACUGGAACCGAAAAAUACAAAUGUGCCCUUAGAGCUUGAUAAGAUCCUCGCAGGAUCCAGGGGAGGCACCUCCCGGUGGCUUUAACGCCAACGUUAUCAACAAGAGUGAGAAU</w:t>
      </w:r>
      <w:r>
        <w:br/>
      </w:r>
      <w:r>
        <w:rPr>
          <w:rStyle w:val="NormalTok"/>
        </w:rPr>
        <w:t xml:space="preserve">&gt;b1-116</w:t>
      </w:r>
      <w:r>
        <w:br/>
      </w:r>
      <w:r>
        <w:rPr>
          <w:rStyle w:val="NormalTok"/>
        </w:rPr>
        <w:t xml:space="preserve">GGAAGACCAUACGACUGGCACCGUACAAUACAAAUGUGCCCUCAGAGCUUGAGAAGAUCCUUGCAGGAUAAAGGGGAGGCACCCCCCGGUAGCUUAAAAGCCAACGUUCUCAACAAUGGUC-ACAA</w:t>
      </w:r>
    </w:p>
    <w:p>
      <w:pPr>
        <w:pStyle w:val="FirstParagraph"/>
      </w:pPr>
      <w:r>
        <w:t xml:space="preserve">Brug</w:t>
      </w:r>
      <w:r>
        <w:t xml:space="preserve"> </w:t>
      </w:r>
      <w:hyperlink r:id="rId22">
        <w:r>
          <w:rPr>
            <w:rStyle w:val="Hyperlink"/>
            <w:b/>
            <w:bCs/>
          </w:rPr>
          <w:t xml:space="preserve">RNAalifold</w:t>
        </w:r>
      </w:hyperlink>
      <w:r>
        <w:t xml:space="preserve"> </w:t>
      </w:r>
      <w:r>
        <w:t xml:space="preserve">webserver til at forudsige konsensus sekundær struktur for RNA ligase klasse I. Sammenlign den forudsagte sekundær struktur med strukturen som forskerne kom frem til (Figur B). Hvilke stem-regioner (P) er forudsagt korrekt? Hvorfor tror du pseudoknuden P3 ikke er forudsagt?</w:t>
      </w:r>
    </w:p>
    <w:bookmarkEnd w:id="53"/>
    <w:bookmarkStart w:id="54" w:name="identificer-kompenserende-baseændringer"/>
    <w:p>
      <w:pPr>
        <w:pStyle w:val="Heading3"/>
      </w:pPr>
      <w:r>
        <w:t xml:space="preserve">Identificer kompenserende baseændringer</w:t>
      </w:r>
    </w:p>
    <w:p>
      <w:pPr>
        <w:pStyle w:val="FirstParagraph"/>
      </w:pPr>
      <w:r>
        <w:t xml:space="preserve">Hvilke kompenserende baseændringer bliver observeret og hvilke stem-regioner understøtter de? Hvilke stem-regioner modsiges af inkompatible basepar?</w:t>
      </w:r>
    </w:p>
    <w:bookmarkEnd w:id="54"/>
    <w:bookmarkStart w:id="57" w:name="bestem-hvilke-stems-stacker-i-pymol"/>
    <w:p>
      <w:pPr>
        <w:pStyle w:val="Heading3"/>
      </w:pPr>
      <w:r>
        <w:t xml:space="preserve">Bestem hvilke stems stacker i PyMOL</w:t>
      </w:r>
    </w:p>
    <w:p>
      <w:pPr>
        <w:pStyle w:val="FirstParagraph"/>
      </w:pPr>
    </w:p>
    <w:p>
      <w:pPr>
        <w:pStyle w:val="BodyText"/>
      </w:pPr>
      <w:r>
        <w:t xml:space="preserve">I 2009 blev strukturen af RNA ligase klasse I i</w:t>
      </w:r>
      <w:r>
        <w:t xml:space="preserve"> </w:t>
      </w:r>
      <w:r>
        <w:t xml:space="preserve">“post-ligation-state”</w:t>
      </w:r>
      <w:r>
        <w:t xml:space="preserve"> </w:t>
      </w:r>
      <w:r>
        <w:t xml:space="preserve">bestemt med røntgen krystallografi (</w:t>
      </w:r>
      <w:hyperlink r:id="rId55">
        <w:r>
          <w:rPr>
            <w:rStyle w:val="Hyperlink"/>
            <w:b/>
            <w:bCs/>
          </w:rPr>
          <w:t xml:space="preserve">Shechner</w:t>
        </w:r>
        <w:r>
          <w:rPr>
            <w:rStyle w:val="Hyperlink"/>
            <w:b/>
            <w:bCs/>
          </w:rPr>
          <w:t xml:space="preserve"> </w:t>
        </w:r>
        <w:r>
          <w:rPr>
            <w:rStyle w:val="Hyperlink"/>
            <w:b/>
            <w:bCs/>
            <w:i/>
            <w:iCs/>
          </w:rPr>
          <w:t xml:space="preserve">et al.,</w:t>
        </w:r>
        <w:r>
          <w:rPr>
            <w:rStyle w:val="Hyperlink"/>
            <w:b/>
            <w:bCs/>
          </w:rPr>
          <w:t xml:space="preserve"> </w:t>
        </w:r>
        <w:r>
          <w:rPr>
            <w:rStyle w:val="Hyperlink"/>
            <w:b/>
            <w:bCs/>
          </w:rPr>
          <w:t xml:space="preserve">2009</w:t>
        </w:r>
      </w:hyperlink>
      <w:r>
        <w:t xml:space="preserve">) og i 2011 blev den bestemt i</w:t>
      </w:r>
      <w:r>
        <w:t xml:space="preserve"> </w:t>
      </w:r>
      <w:r>
        <w:t xml:space="preserve">“pre-ligation-state”</w:t>
      </w:r>
      <w:r>
        <w:t xml:space="preserve"> </w:t>
      </w:r>
      <w:r>
        <w:t xml:space="preserve">(</w:t>
      </w:r>
      <w:hyperlink r:id="rId56">
        <w:r>
          <w:rPr>
            <w:rStyle w:val="Hyperlink"/>
            <w:b/>
            <w:bCs/>
          </w:rPr>
          <w:t xml:space="preserve">Shechner &amp; Bartel, 2011</w:t>
        </w:r>
      </w:hyperlink>
      <w:r>
        <w:t xml:space="preserve">). Åben scriptet</w:t>
      </w:r>
      <w:r>
        <w:t xml:space="preserve"> </w:t>
      </w:r>
      <w:r>
        <w:rPr>
          <w:rStyle w:val="VerbatimChar"/>
        </w:rPr>
        <w:t xml:space="preserve">RNA-ligase.pml</w:t>
      </w:r>
      <w:r>
        <w:t xml:space="preserve"> </w:t>
      </w:r>
      <w:r>
        <w:t xml:space="preserve">i PyMOL. </w:t>
      </w:r>
      <w:r>
        <w:rPr>
          <w:b/>
          <w:bCs/>
        </w:rPr>
        <w:t xml:space="preserve">F1</w:t>
      </w:r>
      <w:r>
        <w:t xml:space="preserve"> viser RNA strukturen med samme farver som vist i nedenstående figur i panel B - dog er pseudoknuden P3 markeret i rød i PyMOL.</w:t>
      </w:r>
    </w:p>
    <w:p>
      <w:pPr>
        <w:pStyle w:val="BodyText"/>
      </w:pPr>
      <w:r>
        <w:t xml:space="preserve">Hvilke stems stacker på hinanden? Hint: To stems kan tilsammen danne en længere helix ved at stacke på hinanden (som det ses f.eks. for P6 og P7 i Figur B).</w:t>
      </w:r>
    </w:p>
    <w:bookmarkEnd w:id="57"/>
    <w:bookmarkStart w:id="60" w:name="X29a2ec770caece00085165c9442c1757e93f274"/>
    <w:p>
      <w:pPr>
        <w:pStyle w:val="Heading3"/>
      </w:pPr>
      <w:r>
        <w:t xml:space="preserve">Analyser aktive site i pre- og post-ligation</w:t>
      </w:r>
    </w:p>
    <w:p>
      <w:pPr>
        <w:pStyle w:val="FirstParagraph"/>
      </w:pPr>
      <w:r>
        <w:rPr>
          <w:b/>
          <w:bCs/>
        </w:rPr>
        <w:t xml:space="preserve">F2</w:t>
      </w:r>
      <w:r>
        <w:t xml:space="preserve"> </w:t>
      </w:r>
      <w:r>
        <w:t xml:space="preserve">viser active site i</w:t>
      </w:r>
      <w:r>
        <w:t xml:space="preserve"> </w:t>
      </w:r>
      <w:r>
        <w:t xml:space="preserve">“pre-ligation-state</w:t>
      </w:r>
      <w:r>
        <w:rPr>
          <w:rStyle w:val="VerbatimChar"/>
        </w:rPr>
        <w:t xml:space="preserve">og **F3**</w:t>
      </w:r>
      <w:r>
        <w:t xml:space="preserve">post-ligation-state”</w:t>
      </w:r>
      <w:r>
        <w:t xml:space="preserve">. Mellem hvilke nukleotider dannes den nye binding? Hvorfor er C47 mon udskiftet med U47 i</w:t>
      </w:r>
      <w:r>
        <w:t xml:space="preserve"> </w:t>
      </w:r>
      <w:r>
        <w:t xml:space="preserve">“pre-ligation-state”</w:t>
      </w:r>
      <w:r>
        <w:t xml:space="preserve">? Hvad er C47s rolle i katalysen og hvilken interaktion har C47 med C30?.</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8" name="Picture"/>
                  <a:graphic>
                    <a:graphicData uri="http://schemas.openxmlformats.org/drawingml/2006/picture">
                      <pic:pic>
                        <pic:nvPicPr>
                          <pic:cNvPr descr="/home/runner/work/structural_biology/structural_biology/.pixi/envs/default/share/quarto/formats/docx/tip.png" id="59" name="Picture"/>
                          <pic:cNvPicPr>
                            <a:picLocks noChangeArrowheads="1" noChangeAspect="1"/>
                          </pic:cNvPicPr>
                        </pic:nvPicPr>
                        <pic:blipFill>
                          <a:blip r:embed="rId1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Hint</w:t>
            </w:r>
          </w:p>
        </w:tc>
      </w:tr>
      <w:tr>
        <w:trPr>
          <w:cantSplit/>
        </w:trPr>
        <w:tc>
          <w:tcPr>
            <w:tcMar>
              <w:top w:w="108" w:type="dxa"/>
              <w:bottom w:w="108" w:type="dxa"/>
            </w:tcMar>
          </w:tcPr>
          <w:p>
            <w:pPr>
              <w:pStyle w:val="BodyText"/>
            </w:pPr>
            <w:pPr>
              <w:spacing w:before="16" w:after="16"/>
            </w:pPr>
            <w:r>
              <w:t xml:space="preserve">Se Figur D</w:t>
            </w:r>
          </w:p>
          <w:p/>
        </w:tc>
      </w:tr>
    </w:tbl>
    <w:bookmarkEnd w:id="60"/>
    <w:bookmarkStart w:id="61" w:name="Xb18e81e4bd616bee920c27fb085171f3cfbc5de"/>
    <w:p>
      <w:pPr>
        <w:pStyle w:val="Heading3"/>
      </w:pPr>
      <w:r>
        <w:t xml:space="preserve">Sammenlign reaktionsmekanismer RNA og protein</w:t>
      </w:r>
    </w:p>
    <w:p>
      <w:pPr>
        <w:pStyle w:val="FirstParagraph"/>
      </w:pPr>
      <w:r>
        <w:t xml:space="preserve">Active site for RNA polymerase proteinet (Figur C) ligner meget active site for RNA ligasen (Figur D). Hvilken reaktionsmekanisme sker når to nukelotider hæftes sammen? Hvilken rolle spiller Mg</w:t>
      </w:r>
      <w:r>
        <w:rPr>
          <w:vertAlign w:val="superscript"/>
        </w:rPr>
        <w:t xml:space="preserve">2+</w:t>
      </w:r>
      <w:r>
        <w:t xml:space="preserve">-ion, C30, C47 og vand-molekylet?</w:t>
      </w:r>
      <w:r>
        <w:t xml:space="preserve"> </w:t>
      </w:r>
      <w:p>
        <w:r>
          <w:br w:type="page"/>
        </w:r>
      </w:p>
    </w:p>
    <w:bookmarkEnd w:id="61"/>
    <w:bookmarkEnd w:id="62"/>
    <w:bookmarkStart w:id="74" w:name="opgave-3.-globin-sekvensalignment"/>
    <w:p>
      <w:pPr>
        <w:pStyle w:val="Heading2"/>
      </w:pPr>
      <w:r>
        <w:t xml:space="preserve">Opgave 3. Globin sekvensalignment</w:t>
      </w:r>
    </w:p>
    <w:p>
      <w:pPr>
        <w:pStyle w:val="FirstParagraph"/>
      </w:pPr>
      <w:r>
        <w:t xml:space="preserve">Hæmoglobin alpha (HGA) og Myoglobin (MYG) fra menneske og Leghæmoglobin-1 (LHG) fra blomsten</w:t>
      </w:r>
      <w:r>
        <w:t xml:space="preserve"> </w:t>
      </w:r>
      <w:hyperlink r:id="rId63">
        <w:r>
          <w:rPr>
            <w:rStyle w:val="Hyperlink"/>
            <w:b/>
            <w:bCs/>
          </w:rPr>
          <w:t xml:space="preserve">Lupin</w:t>
        </w:r>
      </w:hyperlink>
      <w:r>
        <w:t xml:space="preserve"> </w:t>
      </w:r>
      <w:r>
        <w:t xml:space="preserve">er fremhævet som eksempel i Berg</w:t>
      </w:r>
      <w:r>
        <w:t xml:space="preserve"> </w:t>
      </w:r>
      <w:r>
        <w:rPr>
          <w:rStyle w:val="VerbatimChar"/>
        </w:rPr>
        <w:t xml:space="preserve">Biochemistry</w:t>
      </w:r>
      <w:r>
        <w:t xml:space="preserve">, udgave 10, kapitel 10. Følgende sekvenser er hentet fra UniProt i fasta-format.  </w:t>
      </w:r>
    </w:p>
    <w:p>
      <w:pPr>
        <w:pStyle w:val="SourceCode"/>
      </w:pPr>
      <w:r>
        <w:rPr>
          <w:rStyle w:val="NormalTok"/>
        </w:rPr>
        <w:t xml:space="preserve">&gt;HGA</w:t>
      </w:r>
      <w:r>
        <w:br/>
      </w:r>
      <w:r>
        <w:rPr>
          <w:rStyle w:val="NormalTok"/>
        </w:rPr>
        <w:t xml:space="preserve">VLSPADKTNVKAAWGKVGAHAGEYGAEALERMFLSFPTTKTYFPHFDLSHGSAQVKGHGKKVADALTNAV</w:t>
      </w:r>
      <w:r>
        <w:br/>
      </w:r>
      <w:r>
        <w:rPr>
          <w:rStyle w:val="NormalTok"/>
        </w:rPr>
        <w:t xml:space="preserve">AHVDDMPNALSALSDLHAHKLRVDPVNFKLLSHCLLVTLAAHLPAEFTPAVHASLDKFLASVSTVLTSKY</w:t>
      </w:r>
      <w:r>
        <w:br/>
      </w:r>
      <w:r>
        <w:rPr>
          <w:rStyle w:val="NormalTok"/>
        </w:rPr>
        <w:t xml:space="preserve">R</w:t>
      </w:r>
      <w:r>
        <w:br/>
      </w:r>
      <w:r>
        <w:rPr>
          <w:rStyle w:val="NormalTok"/>
        </w:rPr>
        <w:t xml:space="preserve">&gt;MYG</w:t>
      </w:r>
      <w:r>
        <w:br/>
      </w:r>
      <w:r>
        <w:rPr>
          <w:rStyle w:val="NormalTok"/>
        </w:rPr>
        <w:t xml:space="preserve">MGLSDGEWQLVLNVWGKVEADIPGHGQEVLIRLFKGHPETLEKFDKFKHLKSEDEMKASEDLKKHGATVL</w:t>
      </w:r>
      <w:r>
        <w:br/>
      </w:r>
      <w:r>
        <w:rPr>
          <w:rStyle w:val="NormalTok"/>
        </w:rPr>
        <w:t xml:space="preserve">TALGGILKKKGHHEAEIKPLAQSHATKHKIPVKYLEFISECIIQVLQSKHPGDFGADAQGAMNKALELFR</w:t>
      </w:r>
      <w:r>
        <w:br/>
      </w:r>
      <w:r>
        <w:rPr>
          <w:rStyle w:val="NormalTok"/>
        </w:rPr>
        <w:t xml:space="preserve">KDMASNYKELGFQG</w:t>
      </w:r>
      <w:r>
        <w:br/>
      </w:r>
      <w:r>
        <w:rPr>
          <w:rStyle w:val="NormalTok"/>
        </w:rPr>
        <w:t xml:space="preserve">&gt;LHG</w:t>
      </w:r>
      <w:r>
        <w:br/>
      </w:r>
      <w:r>
        <w:rPr>
          <w:rStyle w:val="NormalTok"/>
        </w:rPr>
        <w:t xml:space="preserve">MGVLTDVQVALVKSSFEEFNANIPKNTHRFFTLVLEIAPGAKDLFSFLKGSSEVPQNNPDLQAHAGKVFK</w:t>
      </w:r>
      <w:r>
        <w:br/>
      </w:r>
      <w:r>
        <w:rPr>
          <w:rStyle w:val="NormalTok"/>
        </w:rPr>
        <w:t xml:space="preserve">LTYEAAIQLQVNGAVASDATLKSLGSVHVSKGVVDAHFPVVKEAILKTIKEVVGDKWSEELNTAWTIAYD</w:t>
      </w:r>
      <w:r>
        <w:br/>
      </w:r>
      <w:r>
        <w:rPr>
          <w:rStyle w:val="NormalTok"/>
        </w:rPr>
        <w:t xml:space="preserve">ELAIIIKKEMKDAA</w:t>
      </w:r>
    </w:p>
    <w:bookmarkStart w:id="65" w:name="aligner-globiner-med-clustalo"/>
    <w:p>
      <w:pPr>
        <w:pStyle w:val="Heading3"/>
      </w:pPr>
      <w:r>
        <w:t xml:space="preserve">Aligner globiner med ClustalO</w:t>
      </w:r>
    </w:p>
    <w:p>
      <w:pPr>
        <w:pStyle w:val="FirstParagraph"/>
      </w:pPr>
      <w:r>
        <w:t xml:space="preserve">Brug</w:t>
      </w:r>
      <w:r>
        <w:t xml:space="preserve"> </w:t>
      </w:r>
      <w:hyperlink r:id="rId64">
        <w:r>
          <w:rPr>
            <w:rStyle w:val="Hyperlink"/>
            <w:b/>
            <w:bCs/>
          </w:rPr>
          <w:t xml:space="preserve">ClustalO</w:t>
        </w:r>
      </w:hyperlink>
      <w:r>
        <w:t xml:space="preserve"> </w:t>
      </w:r>
      <w:r>
        <w:t xml:space="preserve">til at lave en sekvensalignment af Hæmoglobin, Myoglobin og Leghæmoglobin. Hvor mange identiteter er der mellem de tre sekvenser i den forudsagte sekvensalignment?</w:t>
      </w:r>
    </w:p>
    <w:bookmarkEnd w:id="65"/>
    <w:bookmarkStart w:id="67" w:name="aligner-globiner-med-muscle"/>
    <w:p>
      <w:pPr>
        <w:pStyle w:val="Heading3"/>
      </w:pPr>
      <w:r>
        <w:t xml:space="preserve">Aligner globiner med MUSCLE</w:t>
      </w:r>
    </w:p>
    <w:p>
      <w:pPr>
        <w:pStyle w:val="FirstParagraph"/>
      </w:pPr>
      <w:r>
        <w:t xml:space="preserve">Brug</w:t>
      </w:r>
      <w:r>
        <w:t xml:space="preserve"> </w:t>
      </w:r>
      <w:hyperlink r:id="rId66">
        <w:r>
          <w:rPr>
            <w:rStyle w:val="Hyperlink"/>
            <w:b/>
            <w:bCs/>
          </w:rPr>
          <w:t xml:space="preserve">MUSCLE</w:t>
        </w:r>
      </w:hyperlink>
      <w:r>
        <w:t xml:space="preserve"> </w:t>
      </w:r>
      <w:r>
        <w:t xml:space="preserve">til at lave en sekvensalignment af Hæmoglobin, Myoglobin og Leghæmoglobin. Hvor mange identiteter er der mellem de tre sekvenser i den forudsagte sekvensalignment?</w:t>
      </w:r>
    </w:p>
    <w:bookmarkEnd w:id="67"/>
    <w:bookmarkStart w:id="68" w:name="sammenlign-clustalo-og-muscle-resultater"/>
    <w:p>
      <w:pPr>
        <w:pStyle w:val="Heading3"/>
      </w:pPr>
      <w:r>
        <w:t xml:space="preserve">Sammenlign ClustalO og MUSCLE-resultater</w:t>
      </w:r>
    </w:p>
    <w:p>
      <w:pPr>
        <w:pStyle w:val="FirstParagraph"/>
      </w:pPr>
      <w:r>
        <w:t xml:space="preserve">Sammenlign ClustalO og MUSCLE. Hvilke forskelle i alignment viser de?</w:t>
      </w:r>
    </w:p>
    <w:bookmarkEnd w:id="68"/>
    <w:bookmarkStart w:id="69" w:name="find-tættest-beslægtede-globinsekvenser"/>
    <w:p>
      <w:pPr>
        <w:pStyle w:val="Heading3"/>
      </w:pPr>
      <w:r>
        <w:t xml:space="preserve">Find tættest beslægtede globinsekvenser</w:t>
      </w:r>
    </w:p>
    <w:p>
      <w:pPr>
        <w:pStyle w:val="FirstParagraph"/>
      </w:pPr>
      <w:r>
        <w:t xml:space="preserve">Klik på</w:t>
      </w:r>
      <w:r>
        <w:t xml:space="preserve"> </w:t>
      </w:r>
      <w:r>
        <w:t xml:space="preserve">“Result Files”</w:t>
      </w:r>
      <w:r>
        <w:t xml:space="preserve"> </w:t>
      </w:r>
      <w:r>
        <w:t xml:space="preserve">og på</w:t>
      </w:r>
      <w:r>
        <w:t xml:space="preserve"> </w:t>
      </w:r>
      <w:r>
        <w:t xml:space="preserve">“Percent Identity Matrix”</w:t>
      </w:r>
      <w:r>
        <w:t xml:space="preserve">. Hvilke to af de tre sekvenser er tættest beslægtet og med hvilken identitetsprocent?</w:t>
      </w:r>
    </w:p>
    <w:bookmarkEnd w:id="69"/>
    <w:bookmarkStart w:id="72" w:name="beregn-blosum-62-score-for-alignment"/>
    <w:p>
      <w:pPr>
        <w:pStyle w:val="Heading3"/>
      </w:pPr>
      <w:r>
        <w:t xml:space="preserve">Beregn BLOSUM-62-score for alignment</w:t>
      </w:r>
    </w:p>
    <w:p>
      <w:pPr>
        <w:pStyle w:val="FirstParagraph"/>
      </w:pPr>
      <w:r>
        <w:t xml:space="preserve">Protein alignment programmer som MUSCLE bruger Blossum-62 matricen til at score sekvensalignment. Blossum-62 matricen er vist i grafisk repræsentation i Berg</w:t>
      </w:r>
      <w:r>
        <w:t xml:space="preserve"> </w:t>
      </w:r>
      <w:r>
        <w:rPr>
          <w:rStyle w:val="VerbatimChar"/>
        </w:rPr>
        <w:t xml:space="preserve">Biochemistry</w:t>
      </w:r>
      <w:r>
        <w:t xml:space="preserve">, udgave 10, kapitel 10, figur 10.7.</w:t>
      </w:r>
    </w:p>
    <w:p>
      <w:pPr>
        <w:pStyle w:val="BodyText"/>
      </w:pPr>
      <w:r>
        <w:t xml:space="preserve">Brug figur 10.7 til at beregne score for de første (fra N-term) af hver slags ændring hhv.</w:t>
      </w:r>
      <w:r>
        <w:t xml:space="preserve"> </w:t>
      </w:r>
      <w:r>
        <w:t xml:space="preserve">“conserved”</w:t>
      </w:r>
      <w:r>
        <w:t xml:space="preserve"> </w:t>
      </w:r>
      <w:r>
        <w:t xml:space="preserve">(markeret med * tegn),</w:t>
      </w:r>
      <w:r>
        <w:t xml:space="preserve"> </w:t>
      </w:r>
      <w:r>
        <w:t xml:space="preserve">“conservative”</w:t>
      </w:r>
      <w:r>
        <w:t xml:space="preserve"> </w:t>
      </w:r>
      <w:r>
        <w:t xml:space="preserve">(markeret med : tegn) og</w:t>
      </w:r>
      <w:r>
        <w:t xml:space="preserve"> </w:t>
      </w:r>
      <w:r>
        <w:t xml:space="preserve">“semi-conservative”</w:t>
      </w:r>
      <w:r>
        <w:t xml:space="preserve"> </w:t>
      </w:r>
      <w:r>
        <w:t xml:space="preserve">(markeret med . tegn) i MUSCLE alignment af Hæmoglobin, Myoglobin og Leghæmoglobin.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70" name="Picture"/>
                  <a:graphic>
                    <a:graphicData uri="http://schemas.openxmlformats.org/drawingml/2006/picture">
                      <pic:pic>
                        <pic:nvPicPr>
                          <pic:cNvPr descr="/home/runner/work/structural_biology/structural_biology/.pixi/envs/default/share/quarto/formats/docx/tip.png" id="71" name="Picture"/>
                          <pic:cNvPicPr>
                            <a:picLocks noChangeArrowheads="1" noChangeAspect="1"/>
                          </pic:cNvPicPr>
                        </pic:nvPicPr>
                        <pic:blipFill>
                          <a:blip r:embed="rId1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Hint</w:t>
            </w:r>
          </w:p>
        </w:tc>
      </w:tr>
      <w:tr>
        <w:trPr>
          <w:cantSplit/>
        </w:trPr>
        <w:tc>
          <w:tcPr>
            <w:tcMar>
              <w:top w:w="108" w:type="dxa"/>
              <w:bottom w:w="108" w:type="dxa"/>
            </w:tcMar>
          </w:tcPr>
          <w:p>
            <w:pPr>
              <w:pStyle w:val="BodyText"/>
            </w:pPr>
            <w:pPr>
              <w:spacing w:before="16" w:after="16"/>
            </w:pPr>
            <w:r>
              <w:t xml:space="preserve">For tre sekvenser summeres scores for alle sammenlignings-kombinationer.</w:t>
            </w:r>
          </w:p>
          <w:p/>
        </w:tc>
      </w:tr>
    </w:tbl>
    <w:bookmarkEnd w:id="72"/>
    <w:bookmarkStart w:id="73" w:name="X102079afc73c10c34de9a7df5db6fa43acdd603"/>
    <w:p>
      <w:pPr>
        <w:pStyle w:val="Heading3"/>
      </w:pPr>
      <w:r>
        <w:t xml:space="preserve">Identificer aminosyreegenskaber i BLOSUM-62</w:t>
      </w:r>
    </w:p>
    <w:p>
      <w:pPr>
        <w:pStyle w:val="FirstParagraph"/>
      </w:pPr>
      <w:r>
        <w:t xml:space="preserve">Hvilke aminosyreegenskaber er involveret i Blossum-62 score?</w:t>
      </w:r>
    </w:p>
    <w:p>
      <w:r>
        <w:br w:type="page"/>
      </w:r>
    </w:p>
    <w:bookmarkEnd w:id="73"/>
    <w:bookmarkEnd w:id="74"/>
    <w:bookmarkStart w:id="81" w:name="opgave-4.-globin-strukturalignment"/>
    <w:p>
      <w:pPr>
        <w:pStyle w:val="Heading2"/>
      </w:pPr>
      <w:r>
        <w:t xml:space="preserve">Opgave 4. Globin strukturalignment</w:t>
      </w:r>
    </w:p>
    <w:p>
      <w:pPr>
        <w:pStyle w:val="FirstParagraph"/>
      </w:pPr>
    </w:p>
    <w:p>
      <w:pPr>
        <w:pStyle w:val="BodyText"/>
      </w:pPr>
      <w:r>
        <w:rPr>
          <w:b/>
          <w:bCs/>
          <w:i/>
          <w:iCs/>
        </w:rPr>
        <w:t xml:space="preserve">PyMOL-scripting opgave</w:t>
      </w:r>
      <w:r>
        <w:rPr>
          <w:i/>
          <w:iCs/>
        </w:rPr>
        <w:t xml:space="preserve">: I denne opgave skal i lære at bruge kommandoerne</w:t>
      </w:r>
      <w:r>
        <w:rPr>
          <w:i/>
          <w:iCs/>
        </w:rPr>
        <w:t xml:space="preserve"> </w:t>
      </w:r>
      <w:r>
        <w:rPr>
          <w:rStyle w:val="VerbatimChar"/>
          <w:i/>
          <w:iCs/>
        </w:rPr>
        <w:t xml:space="preserve">align</w:t>
      </w:r>
      <w:r>
        <w:rPr>
          <w:i/>
          <w:iCs/>
        </w:rPr>
        <w:t xml:space="preserve"> </w:t>
      </w:r>
      <w:r>
        <w:rPr>
          <w:i/>
          <w:iCs/>
        </w:rPr>
        <w:t xml:space="preserve">og</w:t>
      </w:r>
      <w:r>
        <w:rPr>
          <w:i/>
          <w:iCs/>
        </w:rPr>
        <w:t xml:space="preserve"> </w:t>
      </w:r>
      <w:r>
        <w:rPr>
          <w:rStyle w:val="VerbatimChar"/>
          <w:i/>
          <w:iCs/>
        </w:rPr>
        <w:t xml:space="preserve">super</w:t>
      </w:r>
      <w:r>
        <w:rPr>
          <w:i/>
          <w:iCs/>
        </w:rPr>
        <w:t xml:space="preserve">.</w:t>
      </w:r>
    </w:p>
    <w:p>
      <w:pPr>
        <w:pStyle w:val="BodyText"/>
      </w:pPr>
      <w:r>
        <w:t xml:space="preserve">Åben nu pml filen</w:t>
      </w:r>
      <w:r>
        <w:t xml:space="preserve"> </w:t>
      </w:r>
      <w:r>
        <w:rPr>
          <w:rStyle w:val="VerbatimChar"/>
        </w:rPr>
        <w:t xml:space="preserve">Globin.pml</w:t>
      </w:r>
      <w:r>
        <w:t xml:space="preserve"> </w:t>
      </w:r>
      <w:r>
        <w:t xml:space="preserve">i PyMOL, hvor </w:t>
      </w:r>
      <w:r>
        <w:rPr>
          <w:b/>
          <w:bCs/>
        </w:rPr>
        <w:t xml:space="preserve">F1</w:t>
      </w:r>
      <w:r>
        <w:t xml:space="preserve"> viser en strukturel alignment af Hæmoglobin alfa kæde (PDB-ID:</w:t>
      </w:r>
      <w:r>
        <w:t xml:space="preserve"> </w:t>
      </w:r>
      <w:r>
        <w:rPr>
          <w:rStyle w:val="VerbatimChar"/>
        </w:rPr>
        <w:t xml:space="preserve">1HBB</w:t>
      </w:r>
      <w:r>
        <w:t xml:space="preserve">), Myoglobin (PDB-ID:</w:t>
      </w:r>
      <w:r>
        <w:t xml:space="preserve"> </w:t>
      </w:r>
      <w:r>
        <w:rPr>
          <w:rStyle w:val="VerbatimChar"/>
        </w:rPr>
        <w:t xml:space="preserve">1MBD</w:t>
      </w:r>
      <w:r>
        <w:t xml:space="preserve">) og Leghæmoglobin (PDB-ID:</w:t>
      </w:r>
      <w:r>
        <w:t xml:space="preserve"> </w:t>
      </w:r>
      <w:r>
        <w:rPr>
          <w:rStyle w:val="VerbatimChar"/>
        </w:rPr>
        <w:t xml:space="preserve">1GDJ</w:t>
      </w:r>
      <w:r>
        <w:t xml:space="preserve">).</w:t>
      </w:r>
    </w:p>
    <w:bookmarkStart w:id="77" w:name="beregn-rmsd-med-super-kommando"/>
    <w:p>
      <w:pPr>
        <w:pStyle w:val="Heading3"/>
      </w:pPr>
      <w:r>
        <w:t xml:space="preserve">Beregn RMSD med super-kommando</w:t>
      </w:r>
    </w:p>
    <w:p>
      <w:pPr>
        <w:pStyle w:val="FirstParagraph"/>
      </w:pPr>
      <w:r>
        <w:t xml:space="preserve">Forklar hvordan PyMOLs</w:t>
      </w:r>
      <w:r>
        <w:t xml:space="preserve"> </w:t>
      </w:r>
      <w:hyperlink r:id="rId75">
        <w:r>
          <w:rPr>
            <w:rStyle w:val="VerbatimChar"/>
          </w:rPr>
          <w:t xml:space="preserve">super</w:t>
        </w:r>
      </w:hyperlink>
      <w:r>
        <w:t xml:space="preserve"> </w:t>
      </w:r>
      <w:r>
        <w:t xml:space="preserve">kommando fungerer og brug funktionen til at udregne root mean square deviation (</w:t>
      </w:r>
      <w:hyperlink r:id="rId76">
        <w:r>
          <w:rPr>
            <w:rStyle w:val="Hyperlink"/>
            <w:b/>
            <w:bCs/>
          </w:rPr>
          <w:t xml:space="preserve">RMSD</w:t>
        </w:r>
      </w:hyperlink>
      <w:r>
        <w:t xml:space="preserve">) mellem</w:t>
      </w:r>
      <w:r>
        <w:t xml:space="preserve"> </w:t>
      </w:r>
      <w:r>
        <w:rPr>
          <w:rStyle w:val="VerbatimChar"/>
        </w:rPr>
        <w:t xml:space="preserve">1HBB</w:t>
      </w:r>
      <w:r>
        <w:t xml:space="preserve">,</w:t>
      </w:r>
      <w:r>
        <w:t xml:space="preserve"> </w:t>
      </w:r>
      <w:r>
        <w:rPr>
          <w:rStyle w:val="VerbatimChar"/>
        </w:rPr>
        <w:t xml:space="preserve">1MBD</w:t>
      </w:r>
      <w:r>
        <w:t xml:space="preserve"> </w:t>
      </w:r>
      <w:r>
        <w:t xml:space="preserve">og</w:t>
      </w:r>
      <w:r>
        <w:t xml:space="preserve"> </w:t>
      </w:r>
      <w:r>
        <w:rPr>
          <w:rStyle w:val="VerbatimChar"/>
        </w:rPr>
        <w:t xml:space="preserve">1GDJ</w:t>
      </w:r>
      <w:r>
        <w:t xml:space="preserve">.</w:t>
      </w:r>
    </w:p>
    <w:bookmarkEnd w:id="77"/>
    <w:bookmarkStart w:id="78" w:name="beregn-rmsd-med-align-kommando"/>
    <w:p>
      <w:pPr>
        <w:pStyle w:val="Heading3"/>
      </w:pPr>
      <w:r>
        <w:t xml:space="preserve">Beregn RMSD med align-kommando</w:t>
      </w:r>
    </w:p>
    <w:p>
      <w:pPr>
        <w:pStyle w:val="FirstParagraph"/>
      </w:pPr>
      <w:r>
        <w:t xml:space="preserve">Forklar hvordan PyMOLs</w:t>
      </w:r>
      <w:r>
        <w:t xml:space="preserve"> </w:t>
      </w:r>
      <w:r>
        <w:rPr>
          <w:rStyle w:val="VerbatimChar"/>
        </w:rPr>
        <w:t xml:space="preserve">align</w:t>
      </w:r>
      <w:r>
        <w:t xml:space="preserve">(https://pymolwiki.org/index.php/Align) kommando fungerer og brug funktionen til at udregne root mean square deviation (</w:t>
      </w:r>
      <w:hyperlink r:id="rId76">
        <w:r>
          <w:rPr>
            <w:rStyle w:val="Hyperlink"/>
            <w:b/>
            <w:bCs/>
          </w:rPr>
          <w:t xml:space="preserve">RMSD</w:t>
        </w:r>
      </w:hyperlink>
      <w:r>
        <w:t xml:space="preserve">) mellem 1HBB</w:t>
      </w:r>
      <w:r>
        <w:rPr>
          <w:rStyle w:val="VerbatimChar"/>
        </w:rPr>
        <w:t xml:space="preserve">,</w:t>
      </w:r>
      <w:r>
        <w:t xml:space="preserve">1MBD</w:t>
      </w:r>
      <w:r>
        <w:rPr>
          <w:rStyle w:val="VerbatimChar"/>
        </w:rPr>
        <w:t xml:space="preserve">og</w:t>
      </w:r>
      <w:r>
        <w:t xml:space="preserve">1GDJ`.</w:t>
      </w:r>
    </w:p>
    <w:bookmarkEnd w:id="78"/>
    <w:bookmarkStart w:id="79" w:name="sammenlign-super-og-align-kommandoer"/>
    <w:p>
      <w:pPr>
        <w:pStyle w:val="Heading3"/>
      </w:pPr>
      <w:r>
        <w:t xml:space="preserve">Sammenlign super og align-kommandoer</w:t>
      </w:r>
    </w:p>
    <w:p>
      <w:pPr>
        <w:pStyle w:val="FirstParagraph"/>
      </w:pPr>
      <w:r>
        <w:t xml:space="preserve">I hvilke tilfælde fungerer</w:t>
      </w:r>
      <w:r>
        <w:t xml:space="preserve"> </w:t>
      </w:r>
      <w:r>
        <w:rPr>
          <w:rStyle w:val="VerbatimChar"/>
        </w:rPr>
        <w:t xml:space="preserve">super</w:t>
      </w:r>
      <w:r>
        <w:t xml:space="preserve"> </w:t>
      </w:r>
      <w:r>
        <w:t xml:space="preserve">og</w:t>
      </w:r>
      <w:r>
        <w:t xml:space="preserve"> </w:t>
      </w:r>
      <w:r>
        <w:rPr>
          <w:rStyle w:val="VerbatimChar"/>
        </w:rPr>
        <w:t xml:space="preserve">align</w:t>
      </w:r>
      <w:r>
        <w:t xml:space="preserve"> </w:t>
      </w:r>
      <w:r>
        <w:t xml:space="preserve">bedst? Stemmer RMSD generelt overens med</w:t>
      </w:r>
      <w:r>
        <w:t xml:space="preserve"> </w:t>
      </w:r>
      <w:r>
        <w:t xml:space="preserve">“percent identity”</w:t>
      </w:r>
      <w:r>
        <w:t xml:space="preserve"> </w:t>
      </w:r>
      <w:r>
        <w:t xml:space="preserve">fra forrige opgave?</w:t>
      </w:r>
    </w:p>
    <w:p>
      <w:pPr>
        <w:pStyle w:val="BodyText"/>
      </w:pPr>
      <w:r>
        <w:rPr>
          <w:b/>
          <w:bCs/>
        </w:rPr>
        <w:t xml:space="preserve">F2</w:t>
      </w:r>
      <w:r>
        <w:t xml:space="preserve"> </w:t>
      </w:r>
      <w:r>
        <w:t xml:space="preserve">viser identiteter fra forrige opgave i grøn og hæmgruppe i rød. </w:t>
      </w:r>
    </w:p>
    <w:bookmarkEnd w:id="79"/>
    <w:bookmarkStart w:id="80" w:name="beskriv-placering-af-bevarede-aminosyrer"/>
    <w:p>
      <w:pPr>
        <w:pStyle w:val="Heading3"/>
      </w:pPr>
      <w:r>
        <w:t xml:space="preserve">Beskriv placering af bevarede aminosyrer</w:t>
      </w:r>
    </w:p>
    <w:p>
      <w:pPr>
        <w:pStyle w:val="FirstParagraph"/>
      </w:pPr>
      <w:r>
        <w:t xml:space="preserve">Beskriv overordnet hvor de bevarede aminosyrer er placeret i globin-strukturen som vist i</w:t>
      </w:r>
      <w:r>
        <w:t xml:space="preserve"> </w:t>
      </w:r>
      <w:r>
        <w:rPr>
          <w:b/>
          <w:bCs/>
        </w:rPr>
        <w:t xml:space="preserve">F2</w:t>
      </w:r>
      <w:r>
        <w:t xml:space="preserve">. Hvad er afstanden af bindingen mellem Histidin-87 og jern-atomet? Hvorfor vises denne vigtige binding ikke i PyMOL? Hvordan passer denne længde med en kovalent binding overfor en hydrogen-binding?</w:t>
      </w:r>
    </w:p>
    <w:p>
      <w:r>
        <w:br w:type="page"/>
      </w:r>
    </w:p>
    <w:bookmarkEnd w:id="80"/>
    <w:bookmarkEnd w:id="81"/>
    <w:bookmarkStart w:id="92" w:name="opgave-5.-globin-strukturbevarelse"/>
    <w:p>
      <w:pPr>
        <w:pStyle w:val="Heading2"/>
      </w:pPr>
      <w:r>
        <w:t xml:space="preserve">Opgave 5. Globin strukturbevarelse</w:t>
      </w:r>
    </w:p>
    <w:p>
      <w:pPr>
        <w:pStyle w:val="FirstParagraph"/>
      </w:pPr>
    </w:p>
    <w:p>
      <w:pPr>
        <w:pStyle w:val="BodyText"/>
      </w:pPr>
    </w:p>
    <w:p>
      <w:pPr>
        <w:pStyle w:val="BodyText"/>
      </w:pPr>
      <w:r>
        <w:rPr>
          <w:b/>
          <w:bCs/>
          <w:i/>
          <w:iCs/>
        </w:rPr>
        <w:t xml:space="preserve">PyMOL-scripting opgave</w:t>
      </w:r>
      <w:r>
        <w:rPr>
          <w:i/>
          <w:iCs/>
        </w:rPr>
        <w:t xml:space="preserve">: I denne PyMOL opgave skal I lære at plotte sekvensbevarelse på protein struktur vha. et Python script, der hedder</w:t>
      </w:r>
      <w:r>
        <w:rPr>
          <w:i/>
          <w:iCs/>
        </w:rPr>
        <w:t xml:space="preserve"> </w:t>
      </w:r>
      <w:r>
        <w:rPr>
          <w:rStyle w:val="VerbatimChar"/>
          <w:i/>
          <w:iCs/>
        </w:rPr>
        <w:t xml:space="preserve">colCons.py</w:t>
      </w:r>
      <w:r>
        <w:rPr>
          <w:i/>
          <w:iCs/>
        </w:rPr>
        <w:t xml:space="preserve">.</w:t>
      </w:r>
    </w:p>
    <w:p>
      <w:pPr>
        <w:pStyle w:val="BodyText"/>
      </w:pPr>
      <w:r>
        <w:t xml:space="preserve">Programmet</w:t>
      </w:r>
      <w:r>
        <w:t xml:space="preserve"> </w:t>
      </w:r>
      <w:r>
        <w:rPr>
          <w:rStyle w:val="VerbatimChar"/>
        </w:rPr>
        <w:t xml:space="preserve">colCons</w:t>
      </w:r>
      <w:r>
        <w:t xml:space="preserve"> </w:t>
      </w:r>
      <w:r>
        <w:t xml:space="preserve">tager en alignment i fasta-format og en atomar struktur som input, beregner sekvensbevarelse ihht. BLOSSUM-62-matricen, og farvelægger hver aminosyre efter en farveskala.</w:t>
      </w:r>
    </w:p>
    <w:p>
      <w:pPr>
        <w:pStyle w:val="BodyText"/>
      </w:pPr>
      <w:r>
        <w:t xml:space="preserve">Download følgende zip-fil der indeholder colCons Python-programmet: </w:t>
      </w:r>
      <w:r>
        <w:rPr>
          <w:rStyle w:val="VerbatimChar"/>
        </w:rPr>
        <w:t xml:space="preserve">colCons.zip</w:t>
      </w:r>
      <w:r>
        <w:t xml:space="preserve">. Beskrivelse af hvordan programmet fungerer kan læses i toppen af Python-scriptet. </w:t>
      </w:r>
      <w:r>
        <w:rPr>
          <w:rStyle w:val="VerbatimChar"/>
        </w:rPr>
        <w:t xml:space="preserve">allSorts.inp</w:t>
      </w:r>
      <w:r>
        <w:t xml:space="preserve"> </w:t>
      </w:r>
      <w:r>
        <w:t xml:space="preserve">indeholder PyMOL-kommandoer til at køre programmet på to medfølgende eksempler: EFTU og Sortilin.</w:t>
      </w:r>
    </w:p>
    <w:p>
      <w:pPr>
        <w:pStyle w:val="BodyText"/>
      </w:pPr>
      <w:r>
        <w:t xml:space="preserve">I denne opgave bruger vi alignment af Hæmoglobin, Myoglobin og Leghæmoglobin fra opgave 4 som eksempel.</w:t>
      </w:r>
    </w:p>
    <w:p>
      <w:pPr>
        <w:numPr>
          <w:ilvl w:val="0"/>
          <w:numId w:val="1002"/>
        </w:numPr>
      </w:pPr>
      <w:r>
        <w:t xml:space="preserve">Download </w:t>
      </w:r>
      <w:r>
        <w:rPr>
          <w:rStyle w:val="VerbatimChar"/>
        </w:rPr>
        <w:t xml:space="preserve">globin-aln-fasta.txt</w:t>
      </w:r>
      <w:r>
        <w:t xml:space="preserve"> og placér filen i colCons mappen.</w:t>
      </w:r>
    </w:p>
    <w:p>
      <w:pPr>
        <w:numPr>
          <w:ilvl w:val="0"/>
          <w:numId w:val="1002"/>
        </w:numPr>
      </w:pPr>
      <w:r>
        <w:t xml:space="preserve">Åben nu PyMOL, navigér til colCons mappen, sæt PyMOL-parametre, og aktivér colCons.py scriptet:</w:t>
      </w:r>
    </w:p>
    <w:p>
      <w:pPr>
        <w:pStyle w:val="SourceCode"/>
      </w:pPr>
      <w:r>
        <w:rPr>
          <w:rStyle w:val="NormalTok"/>
        </w:rPr>
        <w:t xml:space="preserve">reinitialize</w:t>
      </w:r>
      <w:r>
        <w:br/>
      </w:r>
      <w:r>
        <w:rPr>
          <w:rStyle w:val="NormalTok"/>
        </w:rPr>
        <w:t xml:space="preserve">cd [inset folder path]</w:t>
      </w:r>
      <w:r>
        <w:br/>
      </w:r>
      <w:r>
        <w:br/>
      </w:r>
      <w:r>
        <w:rPr>
          <w:rStyle w:val="NormalTok"/>
        </w:rPr>
        <w:t xml:space="preserve">bg_color white</w:t>
      </w:r>
      <w:r>
        <w:br/>
      </w:r>
      <w:r>
        <w:rPr>
          <w:rStyle w:val="NormalTok"/>
        </w:rPr>
        <w:t xml:space="preserve">set opaque_background, off</w:t>
      </w:r>
      <w:r>
        <w:br/>
      </w:r>
      <w:r>
        <w:rPr>
          <w:rStyle w:val="NormalTok"/>
        </w:rPr>
        <w:t xml:space="preserve">run colCons.py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82" name="Picture"/>
                  <a:graphic>
                    <a:graphicData uri="http://schemas.openxmlformats.org/drawingml/2006/picture">
                      <pic:pic>
                        <pic:nvPicPr>
                          <pic:cNvPr descr="/home/runner/work/structural_biology/structural_biology/.pixi/envs/default/share/quarto/formats/docx/note.png" id="83" name="Picture"/>
                          <pic:cNvPicPr>
                            <a:picLocks noChangeArrowheads="1" noChangeAspect="1"/>
                          </pic:cNvPicPr>
                        </pic:nvPicPr>
                        <pic:blipFill>
                          <a:blip r:embed="rId1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PyMOL Info</w:t>
            </w:r>
          </w:p>
        </w:tc>
      </w:tr>
      <w:tr>
        <w:trPr>
          <w:cantSplit/>
        </w:trPr>
        <w:tc>
          <w:tcPr>
            <w:tcMar>
              <w:top w:w="108" w:type="dxa"/>
              <w:bottom w:w="108" w:type="dxa"/>
            </w:tcMar>
          </w:tcPr>
          <w:p>
            <w:pPr>
              <w:pStyle w:val="BodyText"/>
            </w:pPr>
            <w:pPr>
              <w:spacing w:before="16" w:after="16"/>
            </w:pPr>
            <w:r>
              <w:rPr>
                <w:rStyle w:val="VerbatimChar"/>
              </w:rPr>
              <w:t xml:space="preserve">cd</w:t>
            </w:r>
            <w:r>
              <w:t xml:space="preserve">-kommandoen står for</w:t>
            </w:r>
            <w:r>
              <w:t xml:space="preserve"> </w:t>
            </w:r>
            <w:r>
              <w:t xml:space="preserve">“change directory”</w:t>
            </w:r>
            <w:r>
              <w:t xml:space="preserve">. Når man bruger cd-kommandoen skal man være opmærksom på hvor i computeren man er på et givent tidspunkt. Man kan tjekke hvor man er med kommandoen</w:t>
            </w:r>
            <w:r>
              <w:t xml:space="preserve"> </w:t>
            </w:r>
            <w:r>
              <w:rPr>
                <w:rStyle w:val="VerbatimChar"/>
              </w:rPr>
              <w:t xml:space="preserve">pwd</w:t>
            </w:r>
            <w:r>
              <w:t xml:space="preserve"> </w:t>
            </w:r>
            <w:r>
              <w:t xml:space="preserve">(</w:t>
            </w:r>
            <w:r>
              <w:rPr>
                <w:i/>
                <w:iCs/>
              </w:rPr>
              <w:t xml:space="preserve">print working directory</w:t>
            </w:r>
            <w:r>
              <w:t xml:space="preserve">), der vil give den nuværende sti til PyMOL sessionen. Brug</w:t>
            </w:r>
            <w:r>
              <w:t xml:space="preserve"> </w:t>
            </w:r>
            <w:r>
              <w:rPr>
                <w:rStyle w:val="VerbatimChar"/>
              </w:rPr>
              <w:t xml:space="preserve">ls</w:t>
            </w:r>
            <w:r>
              <w:t xml:space="preserve">-kommandoen for at opliste indholdet af den nuværende mappe. For at komme ind i den rigtige mappe kan man starte sin folder path med</w:t>
            </w:r>
            <w:r>
              <w:t xml:space="preserve"> </w:t>
            </w:r>
            <w:r>
              <w:rPr>
                <w:rStyle w:val="VerbatimChar"/>
              </w:rPr>
              <w:t xml:space="preserve">cd /</w:t>
            </w:r>
            <w:r>
              <w:t xml:space="preserve">, hvilket fører dig til root directory. Herefter indsættes vejen gennem foldere til filen. Man kan se filens folder path ved at højreklikke på filen og trykke</w:t>
            </w:r>
            <w:r>
              <w:t xml:space="preserve"> </w:t>
            </w:r>
            <w:r>
              <w:t xml:space="preserve">“get info</w:t>
            </w:r>
            <w:r>
              <w:rPr>
                <w:rStyle w:val="VerbatimChar"/>
              </w:rPr>
              <w:t xml:space="preserve">på mac eller</w:t>
            </w:r>
            <w:r>
              <w:t xml:space="preserve">properties</w:t>
            </w:r>
            <w:r>
              <w:rPr>
                <w:rStyle w:val="VerbatimChar"/>
              </w:rPr>
              <w:t xml:space="preserve">/</w:t>
            </w:r>
            <w:r>
              <w:t xml:space="preserve">egenskaber”</w:t>
            </w:r>
            <w:r>
              <w:t xml:space="preserve"> </w:t>
            </w:r>
            <w:r>
              <w:t xml:space="preserve">på windows. Det kunne f.eks. se sådan ud; cd /: Users/JensJensen/Desktop/BioMolStrFunk/TØ/TØ7.*</w:t>
            </w:r>
          </w:p>
          <w:p/>
        </w:tc>
      </w:tr>
    </w:tbl>
    <w:p>
      <w:pPr>
        <w:pStyle w:val="Compact"/>
        <w:numPr>
          <w:ilvl w:val="0"/>
          <w:numId w:val="1003"/>
        </w:numPr>
      </w:pPr>
      <w:r>
        <w:t xml:space="preserve">Hent nu Myoglobin og brug</w:t>
      </w:r>
      <w:r>
        <w:t xml:space="preserve"> </w:t>
      </w:r>
      <w:r>
        <w:rPr>
          <w:rStyle w:val="VerbatimChar"/>
        </w:rPr>
        <w:t xml:space="preserve">colCons</w:t>
      </w:r>
      <w:r>
        <w:t xml:space="preserve"> </w:t>
      </w:r>
      <w:r>
        <w:t xml:space="preserve">til at farvelægge sekvensbevarelse i </w:t>
      </w:r>
      <w:r>
        <w:t xml:space="preserve">“rainbow”</w:t>
      </w:r>
      <w:r>
        <w:t xml:space="preserve"> </w:t>
      </w:r>
      <w:r>
        <w:t xml:space="preserve">farveskala fra blå (sat til 50% sekvensbevarelse) til rød (sat til 100% sekvensbevarelse) ihht. globin-aln.fasta:</w:t>
      </w:r>
    </w:p>
    <w:p>
      <w:pPr>
        <w:pStyle w:val="SourceCode"/>
      </w:pPr>
      <w:r>
        <w:rPr>
          <w:rStyle w:val="NormalTok"/>
        </w:rPr>
        <w:t xml:space="preserve">fetch 1mbd</w:t>
      </w:r>
      <w:r>
        <w:br/>
      </w:r>
      <w:r>
        <w:rPr>
          <w:rStyle w:val="NormalTok"/>
        </w:rPr>
        <w:t xml:space="preserve">color_cons('1mbd','globin-aln-fasta.txt',1,1,0.5,1.0,'rain','yellow','red','BLOSUM62',True)</w:t>
      </w:r>
    </w:p>
    <w:bookmarkStart w:id="86" w:name="X1bee091e5051584b5b960ac384360fe25882ca3"/>
    <w:p>
      <w:pPr>
        <w:pStyle w:val="Heading3"/>
      </w:pPr>
      <w:r>
        <w:t xml:space="preserve">Identificer bevarede aminosyrer ved hæmgruppen</w:t>
      </w:r>
    </w:p>
    <w:p>
      <w:pPr>
        <w:pStyle w:val="FirstParagraph"/>
      </w:pPr>
      <w:r>
        <w:t xml:space="preserve">Vis proteinet med</w:t>
      </w:r>
      <w:r>
        <w:t xml:space="preserve"> </w:t>
      </w:r>
      <w:r>
        <w:rPr>
          <w:rStyle w:val="VerbatimChar"/>
        </w:rPr>
        <w:t xml:space="preserve">cartoon</w:t>
      </w:r>
      <w:r>
        <w:t xml:space="preserve">- og</w:t>
      </w:r>
      <w:r>
        <w:t xml:space="preserve"> </w:t>
      </w:r>
      <w:r>
        <w:rPr>
          <w:rStyle w:val="VerbatimChar"/>
        </w:rPr>
        <w:t xml:space="preserve">stick</w:t>
      </w:r>
      <w:r>
        <w:t xml:space="preserve">-repræsentation og svar på følgende spørgsmål.</w:t>
      </w:r>
    </w:p>
    <w:p>
      <w:pPr>
        <w:pStyle w:val="BodyText"/>
      </w:pPr>
      <w:r>
        <w:t xml:space="preserve">Hvilke 100% bevarede aminosyrer binder til hæmgruppen? Hvilke aminosyrer kontakter det centrale Fe atom i hæmgruppen? Hvilken aminosyre er</w:t>
      </w:r>
      <w:r>
        <w:t xml:space="preserve"> </w:t>
      </w:r>
      <w:r>
        <w:t xml:space="preserve">“proximal histidine”</w:t>
      </w:r>
      <w:r>
        <w:t xml:space="preserve"> </w:t>
      </w:r>
      <w:r>
        <w:t xml:space="preserve">og hvilken er</w:t>
      </w:r>
      <w:r>
        <w:t xml:space="preserve"> </w:t>
      </w:r>
      <w:r>
        <w:t xml:space="preserve">“distal histidine”</w:t>
      </w:r>
      <w:r>
        <w:t xml:space="preserve"> </w:t>
      </w:r>
      <w:r>
        <w:t xml:space="preserve">(svar på spørgsmål ud fra information i Berg, udgave 10, afsnit 3.2)?</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84" name="Picture"/>
                  <a:graphic>
                    <a:graphicData uri="http://schemas.openxmlformats.org/drawingml/2006/picture">
                      <pic:pic>
                        <pic:nvPicPr>
                          <pic:cNvPr descr="/home/runner/work/structural_biology/structural_biology/.pixi/envs/default/share/quarto/formats/docx/tip.png" id="85" name="Picture"/>
                          <pic:cNvPicPr>
                            <a:picLocks noChangeArrowheads="1" noChangeAspect="1"/>
                          </pic:cNvPicPr>
                        </pic:nvPicPr>
                        <pic:blipFill>
                          <a:blip r:embed="rId1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Hint</w:t>
            </w:r>
          </w:p>
        </w:tc>
      </w:tr>
      <w:tr>
        <w:trPr>
          <w:cantSplit/>
        </w:trPr>
        <w:tc>
          <w:tcPr>
            <w:tcMar>
              <w:top w:w="108" w:type="dxa"/>
              <w:bottom w:w="108" w:type="dxa"/>
            </w:tcMar>
          </w:tcPr>
          <w:p>
            <w:pPr>
              <w:pStyle w:val="BodyText"/>
            </w:pPr>
            <w:pPr>
              <w:spacing w:before="16" w:after="16"/>
            </w:pPr>
            <w:r>
              <w:rPr>
                <w:rStyle w:val="VerbatimChar"/>
              </w:rPr>
              <w:t xml:space="preserve">find</w:t>
            </w:r>
            <w:r>
              <w:t xml:space="preserve"> </w:t>
            </w:r>
            <w:r>
              <w:t xml:space="preserve">finder ikke interaktion med Fe, så brug i stedet</w:t>
            </w:r>
            <w:r>
              <w:t xml:space="preserve"> </w:t>
            </w:r>
            <w:r>
              <w:rPr>
                <w:rStyle w:val="VerbatimChar"/>
              </w:rPr>
              <w:t xml:space="preserve">distance</w:t>
            </w:r>
            <w:r>
              <w:t xml:space="preserve"> </w:t>
            </w:r>
            <w:r>
              <w:t xml:space="preserve">funktionen.</w:t>
            </w:r>
          </w:p>
          <w:p/>
        </w:tc>
      </w:tr>
    </w:tbl>
    <w:bookmarkEnd w:id="86"/>
    <w:bookmarkStart w:id="87" w:name="analyser-overfladebevarelse-i-myoglobin"/>
    <w:p>
      <w:pPr>
        <w:pStyle w:val="Heading3"/>
      </w:pPr>
      <w:r>
        <w:t xml:space="preserve">Analyser overfladebevarelse i myoglobin</w:t>
      </w:r>
    </w:p>
    <w:p>
      <w:pPr>
        <w:pStyle w:val="FirstParagraph"/>
      </w:pPr>
      <w:r>
        <w:t xml:space="preserve">Vis proteinet med</w:t>
      </w:r>
      <w:r>
        <w:t xml:space="preserve"> </w:t>
      </w:r>
      <w:r>
        <w:rPr>
          <w:rStyle w:val="VerbatimChar"/>
        </w:rPr>
        <w:t xml:space="preserve">sphere</w:t>
      </w:r>
      <w:r>
        <w:t xml:space="preserve">-repræsentation og svar på følgende spørgsmål.</w:t>
      </w:r>
    </w:p>
    <w:p>
      <w:pPr>
        <w:pStyle w:val="BodyText"/>
      </w:pPr>
      <w:r>
        <w:t xml:space="preserve">Hvordan er aminosyrer på overfladen af myoglobin bevaret? Hvordan ser bevarelsen ud omkring bindingssite for hæmgruppen?</w:t>
      </w:r>
    </w:p>
    <w:bookmarkEnd w:id="87"/>
    <w:bookmarkStart w:id="88" w:name="Xc9dd383c4bbc6f5f1ef222e0ad3244bba719032"/>
    <w:p>
      <w:pPr>
        <w:pStyle w:val="Heading3"/>
      </w:pPr>
      <w:r>
        <w:t xml:space="preserve">Sammenlign 3D-placering af bevarede rester</w:t>
      </w:r>
    </w:p>
    <w:p>
      <w:pPr>
        <w:pStyle w:val="FirstParagraph"/>
      </w:pPr>
      <w:r>
        <w:t xml:space="preserve">Åben nu alle globinerne og farvelæg dem med colCons:</w:t>
      </w:r>
    </w:p>
    <w:p>
      <w:pPr>
        <w:pStyle w:val="SourceCode"/>
      </w:pPr>
      <w:r>
        <w:rPr>
          <w:rStyle w:val="NormalTok"/>
        </w:rPr>
        <w:t xml:space="preserve">reinit</w:t>
      </w:r>
      <w:r>
        <w:br/>
      </w:r>
      <w:r>
        <w:rPr>
          <w:rStyle w:val="NormalTok"/>
        </w:rPr>
        <w:t xml:space="preserve">fetch 1hbb 1gdj 1mbd, async=0</w:t>
      </w:r>
      <w:r>
        <w:br/>
      </w:r>
      <w:r>
        <w:rPr>
          <w:rStyle w:val="NormalTok"/>
        </w:rPr>
        <w:t xml:space="preserve">remove solvent</w:t>
      </w:r>
      <w:r>
        <w:br/>
      </w:r>
      <w:r>
        <w:rPr>
          <w:rStyle w:val="NormalTok"/>
        </w:rPr>
        <w:t xml:space="preserve">remove not(chain A)</w:t>
      </w:r>
      <w:r>
        <w:br/>
      </w:r>
      <w:r>
        <w:rPr>
          <w:rStyle w:val="NormalTok"/>
        </w:rPr>
        <w:t xml:space="preserve">align 1hbb, 1mbd</w:t>
      </w:r>
      <w:r>
        <w:br/>
      </w:r>
      <w:r>
        <w:rPr>
          <w:rStyle w:val="NormalTok"/>
        </w:rPr>
        <w:t xml:space="preserve">align 1gdj, 1mbd</w:t>
      </w:r>
      <w:r>
        <w:br/>
      </w:r>
      <w:r>
        <w:rPr>
          <w:rStyle w:val="NormalTok"/>
        </w:rPr>
        <w:t xml:space="preserve">reset</w:t>
      </w:r>
      <w:r>
        <w:br/>
      </w:r>
      <w:r>
        <w:rPr>
          <w:rStyle w:val="NormalTok"/>
        </w:rPr>
        <w:t xml:space="preserve">color_cons('1hbb','globin-aln-fasta.txt',3,1,0.5,1.0,'rain','yellow','red','BLOSUM62',True)</w:t>
      </w:r>
      <w:r>
        <w:br/>
      </w:r>
      <w:r>
        <w:rPr>
          <w:rStyle w:val="NormalTok"/>
        </w:rPr>
        <w:t xml:space="preserve">color_cons('1mbd','globin-aln-fasta.txt',1,1,0.5,1.0,'rain','yellow','red','BLOSUM62',True)</w:t>
      </w:r>
      <w:r>
        <w:br/>
      </w:r>
      <w:r>
        <w:rPr>
          <w:rStyle w:val="NormalTok"/>
        </w:rPr>
        <w:t xml:space="preserve">color_cons('1gdj','globin-aln-fasta.txt',2,1,0.5,1.0,'rain','yellow','red','BLOSUM62',True)</w:t>
      </w:r>
    </w:p>
    <w:p>
      <w:pPr>
        <w:pStyle w:val="FirstParagraph"/>
      </w:pPr>
      <w:r>
        <w:t xml:space="preserve">Vis proteinerne med</w:t>
      </w:r>
      <w:r>
        <w:t xml:space="preserve"> </w:t>
      </w:r>
      <w:r>
        <w:rPr>
          <w:rStyle w:val="VerbatimChar"/>
        </w:rPr>
        <w:t xml:space="preserve">cartoon</w:t>
      </w:r>
      <w:r>
        <w:t xml:space="preserve">- og</w:t>
      </w:r>
      <w:r>
        <w:t xml:space="preserve"> </w:t>
      </w:r>
      <w:r>
        <w:rPr>
          <w:rStyle w:val="VerbatimChar"/>
        </w:rPr>
        <w:t xml:space="preserve">stick</w:t>
      </w:r>
      <w:r>
        <w:t xml:space="preserve">-repræsentation og svar på følgende spørgsmål.</w:t>
      </w:r>
    </w:p>
    <w:p>
      <w:pPr>
        <w:pStyle w:val="BodyText"/>
      </w:pPr>
      <w:r>
        <w:t xml:space="preserve">Er 3D placeringen af de 100% bevarede aminosyrer helt ens imellem de tre globiner?</w:t>
      </w:r>
    </w:p>
    <w:bookmarkEnd w:id="88"/>
    <w:bookmarkStart w:id="89" w:name="find-myoglobins-strukturelle-insert"/>
    <w:p>
      <w:pPr>
        <w:pStyle w:val="Heading3"/>
      </w:pPr>
      <w:r>
        <w:t xml:space="preserve">Find myoglobins strukturelle insert</w:t>
      </w:r>
    </w:p>
    <w:p>
      <w:pPr>
        <w:pStyle w:val="FirstParagraph"/>
      </w:pPr>
      <w:r>
        <w:t xml:space="preserve">Myoglobin har et insert på position 57-61 i forhold til Hæmoglobin. Hvilken sekundær struktur har dette insert og hvilken ligand er bundet til denne struktur?</w:t>
      </w:r>
    </w:p>
    <w:bookmarkEnd w:id="89"/>
    <w:bookmarkStart w:id="90" w:name="X6048ae1a2ab5cb0a3c22e07c14313deeafe7701"/>
    <w:p>
      <w:pPr>
        <w:pStyle w:val="Heading3"/>
      </w:pPr>
      <w:r>
        <w:t xml:space="preserve">Sammenlign myoglobin og hæmoglobin strukturelt</w:t>
      </w:r>
    </w:p>
    <w:p>
      <w:pPr>
        <w:pStyle w:val="FirstParagraph"/>
      </w:pPr>
      <w:r>
        <w:t xml:space="preserve">Hvad er den største strukturelle forskel mellem Hæmoglobin (1HHB) og Myoglobin (1MBD)?</w:t>
      </w:r>
    </w:p>
    <w:bookmarkEnd w:id="90"/>
    <w:bookmarkStart w:id="91" w:name="sammenlign-hæmoglobin-og-leghæmoglobin"/>
    <w:p>
      <w:pPr>
        <w:pStyle w:val="Heading3"/>
      </w:pPr>
      <w:r>
        <w:t xml:space="preserve">Sammenlign hæmoglobin og leghæmoglobin</w:t>
      </w:r>
    </w:p>
    <w:p>
      <w:pPr>
        <w:pStyle w:val="FirstParagraph"/>
      </w:pPr>
      <w:r>
        <w:t xml:space="preserve">Hvad er den største strukturelle forskel mellem Hæmoglobin (1HHB) og Leghæmoglobin (1GDJ)?</w:t>
      </w:r>
    </w:p>
    <w:p>
      <w:r>
        <w:br w:type="page"/>
      </w:r>
    </w:p>
    <w:bookmarkEnd w:id="91"/>
    <w:bookmarkEnd w:id="92"/>
    <w:bookmarkStart w:id="99" w:name="X0526c5cb797847895c1b54d54f9992b30be6a39"/>
    <w:p>
      <w:pPr>
        <w:pStyle w:val="Heading2"/>
      </w:pPr>
      <w:r>
        <w:t xml:space="preserve">Opgave 6. Heat shock protein 70 evolution</w:t>
      </w:r>
    </w:p>
    <w:p>
      <w:pPr>
        <w:pStyle w:val="FirstParagraph"/>
      </w:pPr>
      <w:r>
        <w:rPr>
          <w:b/>
          <w:bCs/>
          <w:i/>
          <w:iCs/>
        </w:rPr>
        <w:t xml:space="preserve">PyMOL scripting opgave</w:t>
      </w:r>
      <w:r>
        <w:rPr>
          <w:i/>
          <w:iCs/>
        </w:rPr>
        <w:t xml:space="preserve">: I denne PyMOL opgave skal I lave en strukturel alignment imellem homologe proteiner og bruge informationer fra Interpro databasen til at analysere evolutionære forskelle.</w:t>
      </w:r>
    </w:p>
    <w:p>
      <w:pPr>
        <w:pStyle w:val="BodyText"/>
      </w:pPr>
      <w:r>
        <w:t xml:space="preserve">70 kilodalton heat shock proteiner (Hsp70 eller DnaK) og proteiner med lignende struktur eksisterer i stort set alle levende organismer. Hsp70 er en vigtig del af cellens proteinfoldningsmaskineri og hjælper med at beskytte celler mod stress. Start med at finde Hsp70 familien i</w:t>
      </w:r>
      <w:r>
        <w:t xml:space="preserve"> </w:t>
      </w:r>
      <w:hyperlink r:id="rId93">
        <w:r>
          <w:rPr>
            <w:rStyle w:val="Hyperlink"/>
            <w:b/>
            <w:bCs/>
          </w:rPr>
          <w:t xml:space="preserve">InterPro databasen</w:t>
        </w:r>
      </w:hyperlink>
      <w:r>
        <w:t xml:space="preserve">.</w:t>
      </w:r>
    </w:p>
    <w:bookmarkStart w:id="94" w:name="sammenlign-hsp74-og-hsp7f-i-alignment"/>
    <w:p>
      <w:pPr>
        <w:pStyle w:val="Heading3"/>
      </w:pPr>
      <w:r>
        <w:t xml:space="preserve">Sammenlign HSP74 og HSP7F i alignment</w:t>
      </w:r>
    </w:p>
    <w:p>
      <w:pPr>
        <w:pStyle w:val="FirstParagraph"/>
      </w:pPr>
      <w:r>
        <w:t xml:space="preserve">Kig på alignment (klik på</w:t>
      </w:r>
      <w:r>
        <w:t xml:space="preserve"> </w:t>
      </w:r>
      <w:r>
        <w:rPr>
          <w:rStyle w:val="VerbatimChar"/>
        </w:rPr>
        <w:t xml:space="preserve">Alignments</w:t>
      </w:r>
      <w:r>
        <w:t xml:space="preserve">, vælg derefter</w:t>
      </w:r>
      <w:r>
        <w:t xml:space="preserve"> </w:t>
      </w:r>
      <w:r>
        <w:rPr>
          <w:rStyle w:val="VerbatimChar"/>
        </w:rPr>
        <w:t xml:space="preserve">seed</w:t>
      </w:r>
      <w:r>
        <w:t xml:space="preserve">) og sammenlign HSP74 fra menneske og HSP7F fra gær. Hvad er den største forskel mellem dem?</w:t>
      </w:r>
    </w:p>
    <w:bookmarkEnd w:id="94"/>
    <w:bookmarkStart w:id="95" w:name="skriv-pymol-script-til-strukturalignment"/>
    <w:p>
      <w:pPr>
        <w:pStyle w:val="Heading3"/>
      </w:pPr>
      <w:r>
        <w:t xml:space="preserve">Skriv PyMOL-script til strukturalignment</w:t>
      </w:r>
    </w:p>
    <w:p>
      <w:pPr>
        <w:pStyle w:val="FirstParagraph"/>
      </w:pPr>
      <w:r>
        <w:t xml:space="preserve">Lav et PyMOL-script, der gør følgende:</w:t>
      </w:r>
    </w:p>
    <w:p>
      <w:pPr>
        <w:numPr>
          <w:ilvl w:val="0"/>
          <w:numId w:val="1004"/>
        </w:numPr>
      </w:pPr>
      <w:r>
        <w:t xml:space="preserve">Åben HSP7F med PDB-ID: 2QXL. Hint: Sørg for kun at vise én monomer. Gem som F1.</w:t>
      </w:r>
    </w:p>
    <w:p>
      <w:pPr>
        <w:numPr>
          <w:ilvl w:val="0"/>
          <w:numId w:val="1004"/>
        </w:numPr>
      </w:pPr>
      <w:r>
        <w:t xml:space="preserve">Åben DNAK fra E. coli med PDB-ID: 4B9Q. Hint: Sørg for kun at vise én monomer.</w:t>
      </w:r>
    </w:p>
    <w:p>
      <w:pPr>
        <w:numPr>
          <w:ilvl w:val="0"/>
          <w:numId w:val="1004"/>
        </w:numPr>
      </w:pPr>
      <w:r>
        <w:t xml:space="preserve">Align HSP7F og DNAK. Gem som F2.</w:t>
      </w:r>
    </w:p>
    <w:p>
      <w:pPr>
        <w:numPr>
          <w:ilvl w:val="0"/>
          <w:numId w:val="1004"/>
        </w:numPr>
      </w:pPr>
      <w:r>
        <w:t xml:space="preserve">Åben HSP med PDB-ID: 1ATR.</w:t>
      </w:r>
    </w:p>
    <w:p>
      <w:pPr>
        <w:numPr>
          <w:ilvl w:val="0"/>
          <w:numId w:val="1004"/>
        </w:numPr>
      </w:pPr>
      <w:r>
        <w:t xml:space="preserve">Åben Actin fra E. coli med PDB-ID: 1ATN.</w:t>
      </w:r>
    </w:p>
    <w:p>
      <w:pPr>
        <w:numPr>
          <w:ilvl w:val="0"/>
          <w:numId w:val="1004"/>
        </w:numPr>
      </w:pPr>
      <w:r>
        <w:t xml:space="preserve">Align HSP og Actin.</w:t>
      </w:r>
    </w:p>
    <w:p>
      <w:pPr>
        <w:numPr>
          <w:ilvl w:val="0"/>
          <w:numId w:val="1004"/>
        </w:numPr>
      </w:pPr>
      <w:r>
        <w:t xml:space="preserve">Gem som F3.</w:t>
      </w:r>
    </w:p>
    <w:bookmarkEnd w:id="95"/>
    <w:bookmarkStart w:id="96" w:name="lokalisér-insert-i-hsp7f-struktur"/>
    <w:p>
      <w:pPr>
        <w:pStyle w:val="Heading3"/>
      </w:pPr>
      <w:r>
        <w:t xml:space="preserve">Lokalisér insert i HSP7F-struktur</w:t>
      </w:r>
    </w:p>
    <w:p>
      <w:pPr>
        <w:pStyle w:val="FirstParagraph"/>
      </w:pPr>
      <w:r>
        <w:t xml:space="preserve">Tryk på </w:t>
      </w:r>
      <w:r>
        <w:rPr>
          <w:b/>
          <w:bCs/>
        </w:rPr>
        <w:t xml:space="preserve">F1</w:t>
      </w:r>
      <w:r>
        <w:t xml:space="preserve"> og identificer positionen for insertet</w:t>
      </w:r>
      <w:r>
        <w:t xml:space="preserve"> </w:t>
      </w:r>
      <w:r>
        <w:rPr>
          <w:rStyle w:val="VerbatimChar"/>
        </w:rPr>
        <w:t xml:space="preserve">FKKVTKTVKKDDLTIVAHTFGLDAKKLNE</w:t>
      </w:r>
      <w:r>
        <w:t xml:space="preserve"> </w:t>
      </w:r>
      <w:r>
        <w:t xml:space="preserve">(rest 521-549) i HSP7F fra gær. I hvilken sekundær struktur sidder dette insert? Foreslå evolutionær mekanisme hvormed dette insert er blevet dannet.</w:t>
      </w:r>
    </w:p>
    <w:bookmarkEnd w:id="96"/>
    <w:bookmarkStart w:id="97" w:name="X5b8c4d53f6c9bedbfd745c21764b6f6c58946bc"/>
    <w:p>
      <w:pPr>
        <w:pStyle w:val="Heading3"/>
      </w:pPr>
      <w:r>
        <w:t xml:space="preserve">Beskriv strukturforskelle i HSP7F og DnaK</w:t>
      </w:r>
    </w:p>
    <w:p>
      <w:pPr>
        <w:pStyle w:val="FirstParagraph"/>
      </w:pPr>
      <w:r>
        <w:t xml:space="preserve">Tryk på </w:t>
      </w:r>
      <w:r>
        <w:rPr>
          <w:b/>
          <w:bCs/>
        </w:rPr>
        <w:t xml:space="preserve">F2</w:t>
      </w:r>
      <w:r>
        <w:t xml:space="preserve"> for at se strukturel alignment af HSP7F og DNAK. Hvilke strukturelle forskelle er der på disse strukturer?</w:t>
      </w:r>
    </w:p>
    <w:bookmarkEnd w:id="97"/>
    <w:bookmarkStart w:id="98" w:name="beskriv-domænestruktur-i-hsp-og-actin"/>
    <w:p>
      <w:pPr>
        <w:pStyle w:val="Heading3"/>
      </w:pPr>
      <w:r>
        <w:t xml:space="preserve">Beskriv domænestruktur i HSP og actin</w:t>
      </w:r>
    </w:p>
    <w:p>
      <w:pPr>
        <w:pStyle w:val="FirstParagraph"/>
      </w:pPr>
      <w:r>
        <w:t xml:space="preserve">Tryk på </w:t>
      </w:r>
      <w:r>
        <w:rPr>
          <w:b/>
          <w:bCs/>
        </w:rPr>
        <w:t xml:space="preserve">F3</w:t>
      </w:r>
      <w:r>
        <w:t xml:space="preserve"> for at se strukturel alignment af HSP og Actin og beskriv den overordnede struktur af domæner med beta sheets og alfa helices. Er actin og Hsp70 homologe proteiner når de har en forskellig funktion?</w:t>
      </w:r>
    </w:p>
    <w:p>
      <w:r>
        <w:br w:type="page"/>
      </w:r>
    </w:p>
    <w:bookmarkEnd w:id="98"/>
    <w:bookmarkEnd w:id="9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4" Target="media/rId14.png" /><Relationship Type="http://schemas.openxmlformats.org/officeDocument/2006/relationships/image" Id="rId10" Target="media/rId10.png" /><Relationship Type="http://schemas.openxmlformats.org/officeDocument/2006/relationships/image" Id="rId18" Target="media/rId18.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7" Target="media/rId47.png" /><Relationship Type="http://schemas.openxmlformats.org/officeDocument/2006/relationships/hyperlink" Id="rId9" Target="http://rfam.xfam.org" TargetMode="External" /><Relationship Type="http://schemas.openxmlformats.org/officeDocument/2006/relationships/hyperlink" Id="rId22" Target="http://rna.tbi.univie.ac.at/cgi-bin/RNAWebSuite/RNAalifold.cgi" TargetMode="External" /><Relationship Type="http://schemas.openxmlformats.org/officeDocument/2006/relationships/hyperlink" Id="rId63" Target="https://en.wikipedia.org/wiki/Lupinus" TargetMode="External" /><Relationship Type="http://schemas.openxmlformats.org/officeDocument/2006/relationships/hyperlink" Id="rId76" Target="https://en.wikipedia.org/wiki/Root-mean-square_deviation_of_atomic_positions" TargetMode="External" /><Relationship Type="http://schemas.openxmlformats.org/officeDocument/2006/relationships/hyperlink" Id="rId75" Target="https://pymolwiki.org/index.php/Super" TargetMode="External" /><Relationship Type="http://schemas.openxmlformats.org/officeDocument/2006/relationships/hyperlink" Id="rId17" Target="https://www.e-rna.org/r-chie/faq.cgi" TargetMode="External" /><Relationship Type="http://schemas.openxmlformats.org/officeDocument/2006/relationships/hyperlink" Id="rId93" Target="https://www.ebi.ac.uk/interpro/" TargetMode="External" /><Relationship Type="http://schemas.openxmlformats.org/officeDocument/2006/relationships/hyperlink" Id="rId64" Target="https://www.ebi.ac.uk/jdispatcher/msa/clustalo" TargetMode="External" /><Relationship Type="http://schemas.openxmlformats.org/officeDocument/2006/relationships/hyperlink" Id="rId66" Target="https://www.ebi.ac.uk/jdispatcher/msa/muscle" TargetMode="External" /><Relationship Type="http://schemas.openxmlformats.org/officeDocument/2006/relationships/hyperlink" Id="rId56" Target="https://www.nature.com/articles/nsmb.2107" TargetMode="External" /><Relationship Type="http://schemas.openxmlformats.org/officeDocument/2006/relationships/hyperlink" Id="rId55" Target="https://www.ncbi.nlm.nih.gov/pubmed/19965478" TargetMode="External" /><Relationship Type="http://schemas.openxmlformats.org/officeDocument/2006/relationships/hyperlink" Id="rId46" Target="https://www.ncbi.nlm.nih.gov/pubmed/27528667" TargetMode="External" /><Relationship Type="http://schemas.openxmlformats.org/officeDocument/2006/relationships/hyperlink" Id="rId45" Target="https://www.ncbi.nlm.nih.gov/pubmed/7690155" TargetMode="External" /></Relationships>
</file>

<file path=word/_rels/footnotes.xml.rels><?xml version="1.0" encoding="UTF-8"?><Relationships xmlns="http://schemas.openxmlformats.org/package/2006/relationships"><Relationship Type="http://schemas.openxmlformats.org/officeDocument/2006/relationships/hyperlink" Id="rId9" Target="http://rfam.xfam.org" TargetMode="External" /><Relationship Type="http://schemas.openxmlformats.org/officeDocument/2006/relationships/hyperlink" Id="rId22" Target="http://rna.tbi.univie.ac.at/cgi-bin/RNAWebSuite/RNAalifold.cgi" TargetMode="External" /><Relationship Type="http://schemas.openxmlformats.org/officeDocument/2006/relationships/hyperlink" Id="rId63" Target="https://en.wikipedia.org/wiki/Lupinus" TargetMode="External" /><Relationship Type="http://schemas.openxmlformats.org/officeDocument/2006/relationships/hyperlink" Id="rId76" Target="https://en.wikipedia.org/wiki/Root-mean-square_deviation_of_atomic_positions" TargetMode="External" /><Relationship Type="http://schemas.openxmlformats.org/officeDocument/2006/relationships/hyperlink" Id="rId75" Target="https://pymolwiki.org/index.php/Super" TargetMode="External" /><Relationship Type="http://schemas.openxmlformats.org/officeDocument/2006/relationships/hyperlink" Id="rId17" Target="https://www.e-rna.org/r-chie/faq.cgi" TargetMode="External" /><Relationship Type="http://schemas.openxmlformats.org/officeDocument/2006/relationships/hyperlink" Id="rId93" Target="https://www.ebi.ac.uk/interpro/" TargetMode="External" /><Relationship Type="http://schemas.openxmlformats.org/officeDocument/2006/relationships/hyperlink" Id="rId64" Target="https://www.ebi.ac.uk/jdispatcher/msa/clustalo" TargetMode="External" /><Relationship Type="http://schemas.openxmlformats.org/officeDocument/2006/relationships/hyperlink" Id="rId66" Target="https://www.ebi.ac.uk/jdispatcher/msa/muscle" TargetMode="External" /><Relationship Type="http://schemas.openxmlformats.org/officeDocument/2006/relationships/hyperlink" Id="rId56" Target="https://www.nature.com/articles/nsmb.2107" TargetMode="External" /><Relationship Type="http://schemas.openxmlformats.org/officeDocument/2006/relationships/hyperlink" Id="rId55" Target="https://www.ncbi.nlm.nih.gov/pubmed/19965478" TargetMode="External" /><Relationship Type="http://schemas.openxmlformats.org/officeDocument/2006/relationships/hyperlink" Id="rId46" Target="https://www.ncbi.nlm.nih.gov/pubmed/27528667" TargetMode="External" /><Relationship Type="http://schemas.openxmlformats.org/officeDocument/2006/relationships/hyperlink" Id="rId45" Target="https://www.ncbi.nlm.nih.gov/pubmed/76901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TØ 8 – Evolution og bioinformatik</dc:title>
  <dc:creator/>
  <cp:keywords/>
  <dcterms:created xsi:type="dcterms:W3CDTF">2026-05-13T11:36:37Z</dcterms:created>
  <dcterms:modified xsi:type="dcterms:W3CDTF">2026-05-13T11:36:37Z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ngine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eaching">
    <vt:lpwstr/>
  </property>
  <property fmtid="{D5CDD505-2E9C-101B-9397-08002B2CF9AE}" pid="9" name="toc-title">
    <vt:lpwstr>Table of contents</vt:lpwstr>
  </property>
</Properties>
</file>