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7. Working with data</w:t>
      </w:r>
    </w:p>
    <w:p>
      <w:pPr>
        <w:pStyle w:val="FirstParagraph"/>
      </w:pPr>
      <w:r>
        <w:t xml:space="preserve">In this note we will look at how to plot data from a dataset.</w:t>
      </w:r>
      <w:r>
        <w:t xml:space="preserve"> </w:t>
      </w:r>
      <w:r>
        <w:t xml:space="preserve">We will be using the dataset presented in this</w:t>
      </w:r>
      <w:r>
        <w:t xml:space="preserve"> </w:t>
      </w:r>
      <w:hyperlink r:id="rId9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on</w:t>
      </w:r>
      <w:r>
        <w:t xml:space="preserve"> </w:t>
      </w:r>
      <w:r>
        <w:t xml:space="preserve">“the absorption characteristics of extracted phytoplankton pigments”</w:t>
      </w:r>
      <w:r>
        <w:t xml:space="preserve">.</w:t>
      </w:r>
    </w:p>
    <w:p>
      <w:pPr>
        <w:pStyle w:val="BodyText"/>
      </w:pPr>
      <w:r>
        <w:t xml:space="preserve">We use a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, a collection type that is similar to a table/excel-sheet, to store the data. If you are interested in learning more about these you can look at the</w:t>
      </w:r>
      <w:r>
        <w:t xml:space="preserve"> </w:t>
      </w:r>
      <w:hyperlink r:id="rId10">
        <w:r>
          <w:rPr>
            <w:rStyle w:val="Hyperlink"/>
          </w:rPr>
          <w:t xml:space="preserve">extra material</w:t>
        </w:r>
      </w:hyperlink>
      <w:r>
        <w:t xml:space="preserve"> </w:t>
      </w:r>
      <w:r>
        <w:t xml:space="preserve">for TØ5. This weeks</w:t>
      </w:r>
      <w:r>
        <w:t xml:space="preserve"> </w:t>
      </w:r>
      <w:hyperlink r:id="rId11">
        <w:r>
          <w:rPr>
            <w:rStyle w:val="Hyperlink"/>
          </w:rPr>
          <w:t xml:space="preserve">extra material</w:t>
        </w:r>
      </w:hyperlink>
      <w:r>
        <w:t xml:space="preserve"> </w:t>
      </w:r>
      <w:r>
        <w:t xml:space="preserve">dives into how to do calculations with a</w:t>
      </w:r>
      <w:r>
        <w:t xml:space="preserve"> </w:t>
      </w:r>
      <w:r>
        <w:rPr>
          <w:rStyle w:val="VerbatimChar"/>
        </w:rPr>
        <w:t xml:space="preserve">DataFrame</w:t>
      </w:r>
      <w:r>
        <w:t xml:space="preserve">.</w:t>
      </w:r>
    </w:p>
    <w:p>
      <w:pPr>
        <w:pStyle w:val="BodyText"/>
      </w:pPr>
      <w:r>
        <w:t xml:space="preserve">The table below shows an excerpt of the dataset. The first column</w:t>
      </w:r>
      <w:r>
        <w:t xml:space="preserve"> </w:t>
      </w:r>
      <w:r>
        <w:rPr>
          <w:rStyle w:val="VerbatimChar"/>
        </w:rPr>
        <w:t xml:space="preserve">wavelength_nm</w:t>
      </w:r>
      <w:r>
        <w:t xml:space="preserve"> </w:t>
      </w:r>
      <w:r>
        <w:t xml:space="preserve">is the wavelength in nanometers while the other columns are adsorptions measurements for different substances.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NormalTok"/>
        </w:rPr>
        <w:t xml:space="preserve">pigments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pd.read_csv(</w:t>
      </w:r>
      <w:r>
        <w:rPr>
          <w:rStyle w:val="StringTok"/>
        </w:rPr>
        <w:t xml:space="preserve">'../../datasets/curated_abs_dataset.csv'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display(pigments)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wavelength_nm</w:t>
            </w:r>
          </w:p>
        </w:tc>
        <w:tc>
          <w:tcPr/>
          <w:p>
            <w:pPr>
              <w:pStyle w:val="Compact"/>
            </w:pPr>
            <w:r>
              <w:t xml:space="preserve">chlorophyll-a</w:t>
            </w:r>
          </w:p>
        </w:tc>
        <w:tc>
          <w:tcPr/>
          <w:p>
            <w:pPr>
              <w:pStyle w:val="Compact"/>
            </w:pPr>
            <w:r>
              <w:t xml:space="preserve">chlorophyll-b</w:t>
            </w:r>
          </w:p>
        </w:tc>
        <w:tc>
          <w:tcPr/>
          <w:p>
            <w:pPr>
              <w:pStyle w:val="Compact"/>
            </w:pPr>
            <w:r>
              <w:t xml:space="preserve">fucoxanthin</w:t>
            </w:r>
          </w:p>
        </w:tc>
        <w:tc>
          <w:tcPr/>
          <w:p>
            <w:pPr>
              <w:pStyle w:val="Compact"/>
            </w:pPr>
            <w:r>
              <w:t xml:space="preserve">prasinoxanthin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800.2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0.000035</w:t>
            </w:r>
          </w:p>
        </w:tc>
        <w:tc>
          <w:tcPr/>
          <w:p>
            <w:pPr>
              <w:pStyle w:val="Compact"/>
            </w:pPr>
            <w:r>
              <w:t xml:space="preserve">0.000629</w:t>
            </w:r>
          </w:p>
        </w:tc>
        <w:tc>
          <w:tcPr/>
          <w:p>
            <w:pPr>
              <w:pStyle w:val="Compact"/>
            </w:pPr>
            <w:r>
              <w:t xml:space="preserve">0.000128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799.3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0.000000</w:t>
            </w:r>
          </w:p>
        </w:tc>
        <w:tc>
          <w:tcPr/>
          <w:p>
            <w:pPr>
              <w:pStyle w:val="Compact"/>
            </w:pPr>
            <w:r>
              <w:t xml:space="preserve">0.000588</w:t>
            </w:r>
          </w:p>
        </w:tc>
        <w:tc>
          <w:tcPr/>
          <w:p>
            <w:pPr>
              <w:pStyle w:val="Compact"/>
            </w:pPr>
            <w:r>
              <w:t xml:space="preserve">0.000166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798.5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0.000000</w:t>
            </w:r>
          </w:p>
        </w:tc>
        <w:tc>
          <w:tcPr/>
          <w:p>
            <w:pPr>
              <w:pStyle w:val="Compact"/>
            </w:pPr>
            <w:r>
              <w:t xml:space="preserve">0.000599</w:t>
            </w:r>
          </w:p>
        </w:tc>
        <w:tc>
          <w:tcPr/>
          <w:p>
            <w:pPr>
              <w:pStyle w:val="Compact"/>
            </w:pPr>
            <w:r>
              <w:t xml:space="preserve">0.000165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797.6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0.000000</w:t>
            </w:r>
          </w:p>
        </w:tc>
        <w:tc>
          <w:tcPr/>
          <w:p>
            <w:pPr>
              <w:pStyle w:val="Compact"/>
            </w:pPr>
            <w:r>
              <w:t xml:space="preserve">0.000548</w:t>
            </w:r>
          </w:p>
        </w:tc>
        <w:tc>
          <w:tcPr/>
          <w:p>
            <w:pPr>
              <w:pStyle w:val="Compact"/>
            </w:pPr>
            <w:r>
              <w:t xml:space="preserve">0.000216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796.7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0.000086</w:t>
            </w:r>
          </w:p>
        </w:tc>
        <w:tc>
          <w:tcPr/>
          <w:p>
            <w:pPr>
              <w:pStyle w:val="Compact"/>
            </w:pPr>
            <w:r>
              <w:t xml:space="preserve">0.000491</w:t>
            </w:r>
          </w:p>
        </w:tc>
        <w:tc>
          <w:tcPr/>
          <w:p>
            <w:pPr>
              <w:pStyle w:val="Compact"/>
            </w:pPr>
            <w:r>
              <w:t xml:space="preserve">0.000086</w:t>
            </w:r>
          </w:p>
        </w:tc>
      </w:tr>
      <w:tr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558</w:t>
            </w:r>
          </w:p>
        </w:tc>
        <w:tc>
          <w:tcPr/>
          <w:p>
            <w:pPr>
              <w:pStyle w:val="Compact"/>
            </w:pPr>
            <w:r>
              <w:t xml:space="preserve">324.0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0.003124</w:t>
            </w:r>
          </w:p>
        </w:tc>
        <w:tc>
          <w:tcPr/>
          <w:p>
            <w:pPr>
              <w:pStyle w:val="Compact"/>
            </w:pPr>
            <w:r>
              <w:t xml:space="preserve">0.002171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559</w:t>
            </w:r>
          </w:p>
        </w:tc>
        <w:tc>
          <w:tcPr/>
          <w:p>
            <w:pPr>
              <w:pStyle w:val="Compact"/>
            </w:pPr>
            <w:r>
              <w:t xml:space="preserve">323.1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0.003056</w:t>
            </w:r>
          </w:p>
        </w:tc>
        <w:tc>
          <w:tcPr/>
          <w:p>
            <w:pPr>
              <w:pStyle w:val="Compact"/>
            </w:pPr>
            <w:r>
              <w:t xml:space="preserve">0.002062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560</w:t>
            </w:r>
          </w:p>
        </w:tc>
        <w:tc>
          <w:tcPr/>
          <w:p>
            <w:pPr>
              <w:pStyle w:val="Compact"/>
            </w:pPr>
            <w:r>
              <w:t xml:space="preserve">322.3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0.003098</w:t>
            </w:r>
          </w:p>
        </w:tc>
        <w:tc>
          <w:tcPr/>
          <w:p>
            <w:pPr>
              <w:pStyle w:val="Compact"/>
            </w:pPr>
            <w:r>
              <w:t xml:space="preserve">0.002207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561</w:t>
            </w:r>
          </w:p>
        </w:tc>
        <w:tc>
          <w:tcPr/>
          <w:p>
            <w:pPr>
              <w:pStyle w:val="Compact"/>
            </w:pPr>
            <w:r>
              <w:t xml:space="preserve">321.4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0.003092</w:t>
            </w:r>
          </w:p>
        </w:tc>
        <w:tc>
          <w:tcPr/>
          <w:p>
            <w:pPr>
              <w:pStyle w:val="Compact"/>
            </w:pPr>
            <w:r>
              <w:t xml:space="preserve">0.002202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562</w:t>
            </w:r>
          </w:p>
        </w:tc>
        <w:tc>
          <w:tcPr/>
          <w:p>
            <w:pPr>
              <w:pStyle w:val="Compact"/>
            </w:pPr>
            <w:r>
              <w:t xml:space="preserve">320.6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0.003042</w:t>
            </w:r>
          </w:p>
        </w:tc>
        <w:tc>
          <w:tcPr/>
          <w:p>
            <w:pPr>
              <w:pStyle w:val="Compact"/>
            </w:pPr>
            <w:r>
              <w:t xml:space="preserve">0.002189</w:t>
            </w:r>
          </w:p>
        </w:tc>
      </w:tr>
    </w:tbl>
    <w:bookmarkStart w:id="18" w:name="plotting"/>
    <w:p>
      <w:pPr>
        <w:pStyle w:val="Heading2"/>
      </w:pPr>
      <w:r>
        <w:t xml:space="preserve">Plotting</w:t>
      </w:r>
    </w:p>
    <w:p>
      <w:pPr>
        <w:pStyle w:val="FirstParagraph"/>
      </w:pPr>
      <w:r>
        <w:t xml:space="preserve">One of the best ways to explore a dataset is to plot it, below one column of the dataset is</w:t>
      </w:r>
      <w:r>
        <w:t xml:space="preserve"> </w:t>
      </w:r>
      <w:r>
        <w:t xml:space="preserve">plotted</w:t>
      </w:r>
    </w:p>
    <w:bookmarkStart w:id="12" w:name="annotated-cell-2"/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br/>
      </w:r>
      <w:r>
        <w:rPr>
          <w:rStyle w:val="CommentTok"/>
        </w:rPr>
        <w:t xml:space="preserve"># Plotting</w:t>
      </w:r>
      <w:r>
        <w:br/>
      </w:r>
      <w:r>
        <w:rPr>
          <w:rStyle w:val="NormalTok"/>
        </w:rPr>
        <w:t xml:space="preserve">ax.plot(pigments[</w:t>
      </w:r>
      <w:r>
        <w:rPr>
          <w:rStyle w:val="StringTok"/>
        </w:rPr>
        <w:t xml:space="preserve">'wavelength_nm'</w:t>
      </w:r>
      <w:r>
        <w:rPr>
          <w:rStyle w:val="NormalTok"/>
        </w:rPr>
        <w:t xml:space="preserve">], </w:t>
      </w:r>
      <w:r>
        <w:br/>
      </w:r>
      <w:r>
        <w:rPr>
          <w:rStyle w:val="NormalTok"/>
        </w:rPr>
        <w:t xml:space="preserve">      pigments[</w:t>
      </w:r>
      <w:r>
        <w:rPr>
          <w:rStyle w:val="StringTok"/>
        </w:rPr>
        <w:t xml:space="preserve">'chlorophyll-a'</w:t>
      </w:r>
      <w:r>
        <w:rPr>
          <w:rStyle w:val="NormalTok"/>
        </w:rPr>
        <w:t xml:space="preserve">], </w:t>
      </w:r>
      <w:r>
        <w:br/>
      </w:r>
      <w:r>
        <w:rPr>
          <w:rStyle w:val="NormalTok"/>
        </w:rPr>
        <w:t xml:space="preserve">      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'Chlorophyll-a'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These are settings to make the plot look nice</w:t>
      </w:r>
      <w:r>
        <w:br/>
      </w:r>
      <w:r>
        <w:rPr>
          <w:rStyle w:val="NormalTok"/>
        </w:rPr>
        <w:t xml:space="preserve">ax.set_xlabel(</w:t>
      </w:r>
      <w:r>
        <w:rPr>
          <w:rStyle w:val="StringTok"/>
        </w:rPr>
        <w:t xml:space="preserve">'Wavelength [nm]'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ax.set_ylabel(</w:t>
      </w:r>
      <w:r>
        <w:rPr>
          <w:rStyle w:val="StringTok"/>
        </w:rPr>
        <w:t xml:space="preserve">'Adsorption'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ax.legend()</w:t>
      </w:r>
      <w:r>
        <w:br/>
      </w:r>
      <w:r>
        <w:br/>
      </w:r>
      <w:r>
        <w:rPr>
          <w:rStyle w:val="CommentTok"/>
        </w:rPr>
        <w:t xml:space="preserve"># This tell Python to display the plot.</w:t>
      </w:r>
      <w:r>
        <w:br/>
      </w:r>
      <w:r>
        <w:rPr>
          <w:rStyle w:val="NormalTok"/>
        </w:rPr>
        <w:t xml:space="preserve">plt.show()</w:t>
      </w:r>
    </w:p>
    <w:bookmarkEnd w:id="12"/>
    <w:p>
      <w:pPr>
        <w:pStyle w:val="DefinitionTerm"/>
      </w:pPr>
      <w:r>
        <w:t xml:space="preserve">Line 8</w:t>
      </w:r>
    </w:p>
    <w:p>
      <w:pPr>
        <w:pStyle w:val="Definition"/>
      </w:pPr>
      <w:r>
        <w:t xml:space="preserve">Here we plot by picking the x-axis as the wavelength from the dataset and the y-axis as measurements of chlorophyll-a</w:t>
      </w:r>
    </w:p>
    <w:p>
      <w:pPr>
        <w:pStyle w:val="DefinitionTerm"/>
      </w:pPr>
      <w:r>
        <w:t xml:space="preserve">Line 11</w:t>
      </w:r>
    </w:p>
    <w:p>
      <w:pPr>
        <w:pStyle w:val="Definition"/>
      </w:pPr>
      <w:r>
        <w:t xml:space="preserve">Setting the x-axis name.</w:t>
      </w:r>
    </w:p>
    <w:p>
      <w:pPr>
        <w:pStyle w:val="DefinitionTerm"/>
      </w:pPr>
      <w:r>
        <w:t xml:space="preserve">Line 14</w:t>
      </w:r>
    </w:p>
    <w:p>
      <w:pPr>
        <w:pStyle w:val="Definition"/>
      </w:pPr>
      <w:r>
        <w:t xml:space="preserve">Show the label in a little box, helps if we plot multiple curves in the same figure.</w:t>
      </w:r>
    </w:p>
    <w:p>
      <w:pPr>
        <w:pStyle w:val="DefinitionTerm"/>
      </w:pPr>
      <w:r>
        <w:t xml:space="preserve">Line 17</w:t>
      </w:r>
    </w:p>
    <w:p>
      <w:pPr>
        <w:pStyle w:val="Definition"/>
      </w:pPr>
      <w:r>
        <w:t xml:space="preserve">Show the plot.</w:t>
      </w:r>
    </w:p>
    <w:p>
      <w:pPr>
        <w:pStyle w:val="FirstParagraph"/>
      </w:pPr>
      <w:r>
        <w:drawing>
          <wp:inline>
            <wp:extent cx="4352925" cy="3381375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working_with_data_files/figure-docx/cell-3-output-1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6" w:name="exercise-plotting"/>
    <w:p>
      <w:pPr>
        <w:pStyle w:val="Heading3"/>
      </w:pPr>
      <w:r>
        <w:t xml:space="preserve">Exercise: Plotting</w:t>
      </w:r>
    </w:p>
    <w:p>
      <w:pPr>
        <w:pStyle w:val="FirstParagraph"/>
      </w:pPr>
      <w:r>
        <w:t xml:space="preserve">Use the cell below to plot some of the other columns of the dataset.</w:t>
      </w:r>
    </w:p>
    <w:p>
      <w:pPr>
        <w:pStyle w:val="BodyText"/>
      </w:pPr>
      <w:r>
        <w:t xml:space="preserve">Try to plot several columns at the same time.</w:t>
      </w:r>
    </w:p>
    <w:p>
      <w:pPr>
        <w:pStyle w:val="SourceCode"/>
      </w:pP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br/>
      </w:r>
      <w:r>
        <w:rPr>
          <w:rStyle w:val="CommentTok"/>
        </w:rPr>
        <w:t xml:space="preserve"># Your code for plotting here</w:t>
      </w:r>
      <w:r>
        <w:br/>
      </w:r>
      <w:r>
        <w:br/>
      </w:r>
      <w:r>
        <w:rPr>
          <w:rStyle w:val="NormalTok"/>
        </w:rPr>
        <w:t xml:space="preserve">plt.show()</w:t>
      </w:r>
    </w:p>
    <w:bookmarkEnd w:id="16"/>
    <w:bookmarkStart w:id="17" w:name="exercise-interpreting-plots"/>
    <w:p>
      <w:pPr>
        <w:pStyle w:val="Heading3"/>
      </w:pPr>
      <w:r>
        <w:t xml:space="preserve">Exercise: Interpreting plots</w:t>
      </w:r>
    </w:p>
    <w:p>
      <w:pPr>
        <w:pStyle w:val="FirstParagraph"/>
      </w:pPr>
      <w:r>
        <w:t xml:space="preserve">Chlorophyll a is the main photosynthetic pigment, while chlorophyll b is an accessory pigment found in green algae and land plants. Use the plotted spectra to explain why having both pigments could be useful.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png" /><Relationship Type="http://schemas.openxmlformats.org/officeDocument/2006/relationships/hyperlink" Id="rId10" Target="../toe5/extra.qmd" TargetMode="External" /><Relationship Type="http://schemas.openxmlformats.org/officeDocument/2006/relationships/hyperlink" Id="rId11" Target="extra.qmd" TargetMode="External" /><Relationship Type="http://schemas.openxmlformats.org/officeDocument/2006/relationships/hyperlink" Id="rId9" Target="https://www.sciencedirect.com/science/article/pii/S2352340919302264?utm_source=chatgp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../toe5/extra.qmd" TargetMode="External" /><Relationship Type="http://schemas.openxmlformats.org/officeDocument/2006/relationships/hyperlink" Id="rId11" Target="extra.qmd" TargetMode="External" /><Relationship Type="http://schemas.openxmlformats.org/officeDocument/2006/relationships/hyperlink" Id="rId9" Target="https://www.sciencedirect.com/science/article/pii/S2352340919302264?utm_source=chatgp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7. Working with data</dc:title>
  <dc:creator/>
  <cp:keywords/>
  <dcterms:created xsi:type="dcterms:W3CDTF">2026-06-16T10:34:20Z</dcterms:created>
  <dcterms:modified xsi:type="dcterms:W3CDTF">2026-06-16T10:34:20Z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yodide">
    <vt:lpwstr/>
  </property>
  <property fmtid="{D5CDD505-2E9C-101B-9397-08002B2CF9AE}" pid="9" name="toc-title">
    <vt:lpwstr>Table of contents</vt:lpwstr>
  </property>
</Properties>
</file>