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TØ 7. Extra</w:t>
      </w:r>
    </w:p>
    <w:p>
      <w:pPr>
        <w:pStyle w:val="FirstParagraph"/>
      </w:pPr>
      <w:r>
        <w:t xml:space="preserve">In this note we will work on the same dataset as the</w:t>
      </w:r>
      <w:r>
        <w:t xml:space="preserve"> </w:t>
      </w:r>
      <w:hyperlink r:id="rId9">
        <w:r>
          <w:rPr>
            <w:rStyle w:val="Hyperlink"/>
          </w:rPr>
          <w:t xml:space="preserve">main note</w:t>
        </w:r>
      </w:hyperlink>
      <w:r>
        <w:t xml:space="preserve"> </w:t>
      </w:r>
      <w:r>
        <w:t xml:space="preserve">in</w:t>
      </w:r>
      <w:r>
        <w:t xml:space="preserve"> </w:t>
      </w:r>
      <w:r>
        <w:t xml:space="preserve">which we saw how to plot data. Now we will look at how to manipulate the data, starting by</w:t>
      </w:r>
      <w:r>
        <w:t xml:space="preserve"> </w:t>
      </w:r>
      <w:r>
        <w:t xml:space="preserve">converting the units of one column of the dataset and then doing a calculation that uses two columns.</w:t>
      </w:r>
    </w:p>
    <w:p>
      <w:pPr>
        <w:pStyle w:val="BodyText"/>
      </w:pPr>
      <w:r>
        <w:t xml:space="preserve">Below is an excerpt of the dataset.</w:t>
      </w:r>
    </w:p>
    <w:p>
      <w:pPr>
        <w:pStyle w:val="SourceCode"/>
      </w:pPr>
      <w:r>
        <w:rPr>
          <w:rStyle w:val="ImportTok"/>
        </w:rPr>
        <w:t xml:space="preserve">import</w:t>
      </w:r>
      <w:r>
        <w:rPr>
          <w:rStyle w:val="NormalTok"/>
        </w:rPr>
        <w:t xml:space="preserve"> pandas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pd</w:t>
      </w:r>
      <w:r>
        <w:br/>
      </w:r>
      <w:r>
        <w:rPr>
          <w:rStyle w:val="NormalTok"/>
        </w:rPr>
        <w:t xml:space="preserve">pigments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pd.read_csv(</w:t>
      </w:r>
      <w:r>
        <w:rPr>
          <w:rStyle w:val="StringTok"/>
        </w:rPr>
        <w:t xml:space="preserve">'../../datasets/curated_abs_dataset.csv'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display(pigments)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wavelength_nm</w:t>
            </w:r>
          </w:p>
        </w:tc>
        <w:tc>
          <w:tcPr/>
          <w:p>
            <w:pPr>
              <w:pStyle w:val="Compact"/>
            </w:pPr>
            <w:r>
              <w:t xml:space="preserve">chlorophyll-a</w:t>
            </w:r>
          </w:p>
        </w:tc>
        <w:tc>
          <w:tcPr/>
          <w:p>
            <w:pPr>
              <w:pStyle w:val="Compact"/>
            </w:pPr>
            <w:r>
              <w:t xml:space="preserve">chlorophyll-b</w:t>
            </w:r>
          </w:p>
        </w:tc>
        <w:tc>
          <w:tcPr/>
          <w:p>
            <w:pPr>
              <w:pStyle w:val="Compact"/>
            </w:pPr>
            <w:r>
              <w:t xml:space="preserve">fucoxanthin</w:t>
            </w:r>
          </w:p>
        </w:tc>
        <w:tc>
          <w:tcPr/>
          <w:p>
            <w:pPr>
              <w:pStyle w:val="Compact"/>
            </w:pPr>
            <w:r>
              <w:t xml:space="preserve">prasinoxanthin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t xml:space="preserve">800.2</w:t>
            </w:r>
          </w:p>
        </w:tc>
        <w:tc>
          <w:tcPr/>
          <w:p>
            <w:pPr>
              <w:pStyle w:val="Compact"/>
            </w:pPr>
            <w:r>
              <w:t xml:space="preserve">0.0</w:t>
            </w:r>
          </w:p>
        </w:tc>
        <w:tc>
          <w:tcPr/>
          <w:p>
            <w:pPr>
              <w:pStyle w:val="Compact"/>
            </w:pPr>
            <w:r>
              <w:t xml:space="preserve">0.000035</w:t>
            </w:r>
          </w:p>
        </w:tc>
        <w:tc>
          <w:tcPr/>
          <w:p>
            <w:pPr>
              <w:pStyle w:val="Compact"/>
            </w:pPr>
            <w:r>
              <w:t xml:space="preserve">0.000629</w:t>
            </w:r>
          </w:p>
        </w:tc>
        <w:tc>
          <w:tcPr/>
          <w:p>
            <w:pPr>
              <w:pStyle w:val="Compact"/>
            </w:pPr>
            <w:r>
              <w:t xml:space="preserve">0.000128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799.3</w:t>
            </w:r>
          </w:p>
        </w:tc>
        <w:tc>
          <w:tcPr/>
          <w:p>
            <w:pPr>
              <w:pStyle w:val="Compact"/>
            </w:pPr>
            <w:r>
              <w:t xml:space="preserve">0.0</w:t>
            </w:r>
          </w:p>
        </w:tc>
        <w:tc>
          <w:tcPr/>
          <w:p>
            <w:pPr>
              <w:pStyle w:val="Compact"/>
            </w:pPr>
            <w:r>
              <w:t xml:space="preserve">0.000000</w:t>
            </w:r>
          </w:p>
        </w:tc>
        <w:tc>
          <w:tcPr/>
          <w:p>
            <w:pPr>
              <w:pStyle w:val="Compact"/>
            </w:pPr>
            <w:r>
              <w:t xml:space="preserve">0.000588</w:t>
            </w:r>
          </w:p>
        </w:tc>
        <w:tc>
          <w:tcPr/>
          <w:p>
            <w:pPr>
              <w:pStyle w:val="Compact"/>
            </w:pPr>
            <w:r>
              <w:t xml:space="preserve">0.000166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798.5</w:t>
            </w:r>
          </w:p>
        </w:tc>
        <w:tc>
          <w:tcPr/>
          <w:p>
            <w:pPr>
              <w:pStyle w:val="Compact"/>
            </w:pPr>
            <w:r>
              <w:t xml:space="preserve">0.0</w:t>
            </w:r>
          </w:p>
        </w:tc>
        <w:tc>
          <w:tcPr/>
          <w:p>
            <w:pPr>
              <w:pStyle w:val="Compact"/>
            </w:pPr>
            <w:r>
              <w:t xml:space="preserve">0.000000</w:t>
            </w:r>
          </w:p>
        </w:tc>
        <w:tc>
          <w:tcPr/>
          <w:p>
            <w:pPr>
              <w:pStyle w:val="Compact"/>
            </w:pPr>
            <w:r>
              <w:t xml:space="preserve">0.000599</w:t>
            </w:r>
          </w:p>
        </w:tc>
        <w:tc>
          <w:tcPr/>
          <w:p>
            <w:pPr>
              <w:pStyle w:val="Compact"/>
            </w:pPr>
            <w:r>
              <w:t xml:space="preserve">0.000165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797.6</w:t>
            </w:r>
          </w:p>
        </w:tc>
        <w:tc>
          <w:tcPr/>
          <w:p>
            <w:pPr>
              <w:pStyle w:val="Compact"/>
            </w:pPr>
            <w:r>
              <w:t xml:space="preserve">0.0</w:t>
            </w:r>
          </w:p>
        </w:tc>
        <w:tc>
          <w:tcPr/>
          <w:p>
            <w:pPr>
              <w:pStyle w:val="Compact"/>
            </w:pPr>
            <w:r>
              <w:t xml:space="preserve">0.000000</w:t>
            </w:r>
          </w:p>
        </w:tc>
        <w:tc>
          <w:tcPr/>
          <w:p>
            <w:pPr>
              <w:pStyle w:val="Compact"/>
            </w:pPr>
            <w:r>
              <w:t xml:space="preserve">0.000548</w:t>
            </w:r>
          </w:p>
        </w:tc>
        <w:tc>
          <w:tcPr/>
          <w:p>
            <w:pPr>
              <w:pStyle w:val="Compact"/>
            </w:pPr>
            <w:r>
              <w:t xml:space="preserve">0.000216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796.7</w:t>
            </w:r>
          </w:p>
        </w:tc>
        <w:tc>
          <w:tcPr/>
          <w:p>
            <w:pPr>
              <w:pStyle w:val="Compact"/>
            </w:pPr>
            <w:r>
              <w:t xml:space="preserve">0.0</w:t>
            </w:r>
          </w:p>
        </w:tc>
        <w:tc>
          <w:tcPr/>
          <w:p>
            <w:pPr>
              <w:pStyle w:val="Compact"/>
            </w:pPr>
            <w:r>
              <w:t xml:space="preserve">0.000086</w:t>
            </w:r>
          </w:p>
        </w:tc>
        <w:tc>
          <w:tcPr/>
          <w:p>
            <w:pPr>
              <w:pStyle w:val="Compact"/>
            </w:pPr>
            <w:r>
              <w:t xml:space="preserve">0.000491</w:t>
            </w:r>
          </w:p>
        </w:tc>
        <w:tc>
          <w:tcPr/>
          <w:p>
            <w:pPr>
              <w:pStyle w:val="Compact"/>
            </w:pPr>
            <w:r>
              <w:t xml:space="preserve">0.000086</w:t>
            </w:r>
          </w:p>
        </w:tc>
      </w:tr>
      <w:tr>
        <w:tc>
          <w:tcPr/>
          <w:p>
            <w:pPr>
              <w:pStyle w:val="Compact"/>
            </w:pPr>
            <w:r>
              <w:t xml:space="preserve">...</w:t>
            </w:r>
          </w:p>
        </w:tc>
        <w:tc>
          <w:tcPr/>
          <w:p>
            <w:pPr>
              <w:pStyle w:val="Compact"/>
            </w:pPr>
            <w:r>
              <w:t xml:space="preserve">...</w:t>
            </w:r>
          </w:p>
        </w:tc>
        <w:tc>
          <w:tcPr/>
          <w:p>
            <w:pPr>
              <w:pStyle w:val="Compact"/>
            </w:pPr>
            <w:r>
              <w:t xml:space="preserve">...</w:t>
            </w:r>
          </w:p>
        </w:tc>
        <w:tc>
          <w:tcPr/>
          <w:p>
            <w:pPr>
              <w:pStyle w:val="Compact"/>
            </w:pPr>
            <w:r>
              <w:t xml:space="preserve">...</w:t>
            </w:r>
          </w:p>
        </w:tc>
        <w:tc>
          <w:tcPr/>
          <w:p>
            <w:pPr>
              <w:pStyle w:val="Compact"/>
            </w:pPr>
            <w:r>
              <w:t xml:space="preserve">...</w:t>
            </w:r>
          </w:p>
        </w:tc>
        <w:tc>
          <w:tcPr/>
          <w:p>
            <w:pPr>
              <w:pStyle w:val="Compact"/>
            </w:pPr>
            <w:r>
              <w:t xml:space="preserve">...</w:t>
            </w:r>
          </w:p>
        </w:tc>
      </w:tr>
      <w:tr>
        <w:tc>
          <w:tcPr/>
          <w:p>
            <w:pPr>
              <w:pStyle w:val="Compact"/>
            </w:pPr>
            <w:r>
              <w:t xml:space="preserve">558</w:t>
            </w:r>
          </w:p>
        </w:tc>
        <w:tc>
          <w:tcPr/>
          <w:p>
            <w:pPr>
              <w:pStyle w:val="Compact"/>
            </w:pPr>
            <w:r>
              <w:t xml:space="preserve">324.0</w:t>
            </w:r>
          </w:p>
        </w:tc>
        <w:tc>
          <w:tcPr/>
          <w:p>
            <w:pPr>
              <w:pStyle w:val="Compact"/>
            </w:pPr>
            <w:r>
              <w:t xml:space="preserve">NaN</w:t>
            </w:r>
          </w:p>
        </w:tc>
        <w:tc>
          <w:tcPr/>
          <w:p>
            <w:pPr>
              <w:pStyle w:val="Compact"/>
            </w:pPr>
            <w:r>
              <w:t xml:space="preserve">NaN</w:t>
            </w:r>
          </w:p>
        </w:tc>
        <w:tc>
          <w:tcPr/>
          <w:p>
            <w:pPr>
              <w:pStyle w:val="Compact"/>
            </w:pPr>
            <w:r>
              <w:t xml:space="preserve">0.003124</w:t>
            </w:r>
          </w:p>
        </w:tc>
        <w:tc>
          <w:tcPr/>
          <w:p>
            <w:pPr>
              <w:pStyle w:val="Compact"/>
            </w:pPr>
            <w:r>
              <w:t xml:space="preserve">0.002171</w:t>
            </w:r>
          </w:p>
        </w:tc>
      </w:tr>
      <w:tr>
        <w:tc>
          <w:tcPr/>
          <w:p>
            <w:pPr>
              <w:pStyle w:val="Compact"/>
            </w:pPr>
            <w:r>
              <w:t xml:space="preserve">559</w:t>
            </w:r>
          </w:p>
        </w:tc>
        <w:tc>
          <w:tcPr/>
          <w:p>
            <w:pPr>
              <w:pStyle w:val="Compact"/>
            </w:pPr>
            <w:r>
              <w:t xml:space="preserve">323.1</w:t>
            </w:r>
          </w:p>
        </w:tc>
        <w:tc>
          <w:tcPr/>
          <w:p>
            <w:pPr>
              <w:pStyle w:val="Compact"/>
            </w:pPr>
            <w:r>
              <w:t xml:space="preserve">NaN</w:t>
            </w:r>
          </w:p>
        </w:tc>
        <w:tc>
          <w:tcPr/>
          <w:p>
            <w:pPr>
              <w:pStyle w:val="Compact"/>
            </w:pPr>
            <w:r>
              <w:t xml:space="preserve">NaN</w:t>
            </w:r>
          </w:p>
        </w:tc>
        <w:tc>
          <w:tcPr/>
          <w:p>
            <w:pPr>
              <w:pStyle w:val="Compact"/>
            </w:pPr>
            <w:r>
              <w:t xml:space="preserve">0.003056</w:t>
            </w:r>
          </w:p>
        </w:tc>
        <w:tc>
          <w:tcPr/>
          <w:p>
            <w:pPr>
              <w:pStyle w:val="Compact"/>
            </w:pPr>
            <w:r>
              <w:t xml:space="preserve">0.002062</w:t>
            </w:r>
          </w:p>
        </w:tc>
      </w:tr>
      <w:tr>
        <w:tc>
          <w:tcPr/>
          <w:p>
            <w:pPr>
              <w:pStyle w:val="Compact"/>
            </w:pPr>
            <w:r>
              <w:t xml:space="preserve">560</w:t>
            </w:r>
          </w:p>
        </w:tc>
        <w:tc>
          <w:tcPr/>
          <w:p>
            <w:pPr>
              <w:pStyle w:val="Compact"/>
            </w:pPr>
            <w:r>
              <w:t xml:space="preserve">322.3</w:t>
            </w:r>
          </w:p>
        </w:tc>
        <w:tc>
          <w:tcPr/>
          <w:p>
            <w:pPr>
              <w:pStyle w:val="Compact"/>
            </w:pPr>
            <w:r>
              <w:t xml:space="preserve">NaN</w:t>
            </w:r>
          </w:p>
        </w:tc>
        <w:tc>
          <w:tcPr/>
          <w:p>
            <w:pPr>
              <w:pStyle w:val="Compact"/>
            </w:pPr>
            <w:r>
              <w:t xml:space="preserve">NaN</w:t>
            </w:r>
          </w:p>
        </w:tc>
        <w:tc>
          <w:tcPr/>
          <w:p>
            <w:pPr>
              <w:pStyle w:val="Compact"/>
            </w:pPr>
            <w:r>
              <w:t xml:space="preserve">0.003098</w:t>
            </w:r>
          </w:p>
        </w:tc>
        <w:tc>
          <w:tcPr/>
          <w:p>
            <w:pPr>
              <w:pStyle w:val="Compact"/>
            </w:pPr>
            <w:r>
              <w:t xml:space="preserve">0.002207</w:t>
            </w:r>
          </w:p>
        </w:tc>
      </w:tr>
      <w:tr>
        <w:tc>
          <w:tcPr/>
          <w:p>
            <w:pPr>
              <w:pStyle w:val="Compact"/>
            </w:pPr>
            <w:r>
              <w:t xml:space="preserve">561</w:t>
            </w:r>
          </w:p>
        </w:tc>
        <w:tc>
          <w:tcPr/>
          <w:p>
            <w:pPr>
              <w:pStyle w:val="Compact"/>
            </w:pPr>
            <w:r>
              <w:t xml:space="preserve">321.4</w:t>
            </w:r>
          </w:p>
        </w:tc>
        <w:tc>
          <w:tcPr/>
          <w:p>
            <w:pPr>
              <w:pStyle w:val="Compact"/>
            </w:pPr>
            <w:r>
              <w:t xml:space="preserve">NaN</w:t>
            </w:r>
          </w:p>
        </w:tc>
        <w:tc>
          <w:tcPr/>
          <w:p>
            <w:pPr>
              <w:pStyle w:val="Compact"/>
            </w:pPr>
            <w:r>
              <w:t xml:space="preserve">NaN</w:t>
            </w:r>
          </w:p>
        </w:tc>
        <w:tc>
          <w:tcPr/>
          <w:p>
            <w:pPr>
              <w:pStyle w:val="Compact"/>
            </w:pPr>
            <w:r>
              <w:t xml:space="preserve">0.003092</w:t>
            </w:r>
          </w:p>
        </w:tc>
        <w:tc>
          <w:tcPr/>
          <w:p>
            <w:pPr>
              <w:pStyle w:val="Compact"/>
            </w:pPr>
            <w:r>
              <w:t xml:space="preserve">0.002202</w:t>
            </w:r>
          </w:p>
        </w:tc>
      </w:tr>
      <w:tr>
        <w:tc>
          <w:tcPr/>
          <w:p>
            <w:pPr>
              <w:pStyle w:val="Compact"/>
            </w:pPr>
            <w:r>
              <w:t xml:space="preserve">562</w:t>
            </w:r>
          </w:p>
        </w:tc>
        <w:tc>
          <w:tcPr/>
          <w:p>
            <w:pPr>
              <w:pStyle w:val="Compact"/>
            </w:pPr>
            <w:r>
              <w:t xml:space="preserve">320.6</w:t>
            </w:r>
          </w:p>
        </w:tc>
        <w:tc>
          <w:tcPr/>
          <w:p>
            <w:pPr>
              <w:pStyle w:val="Compact"/>
            </w:pPr>
            <w:r>
              <w:t xml:space="preserve">NaN</w:t>
            </w:r>
          </w:p>
        </w:tc>
        <w:tc>
          <w:tcPr/>
          <w:p>
            <w:pPr>
              <w:pStyle w:val="Compact"/>
            </w:pPr>
            <w:r>
              <w:t xml:space="preserve">NaN</w:t>
            </w:r>
          </w:p>
        </w:tc>
        <w:tc>
          <w:tcPr/>
          <w:p>
            <w:pPr>
              <w:pStyle w:val="Compact"/>
            </w:pPr>
            <w:r>
              <w:t xml:space="preserve">0.003042</w:t>
            </w:r>
          </w:p>
        </w:tc>
        <w:tc>
          <w:tcPr/>
          <w:p>
            <w:pPr>
              <w:pStyle w:val="Compact"/>
            </w:pPr>
            <w:r>
              <w:t xml:space="preserve">0.002189</w:t>
            </w:r>
          </w:p>
        </w:tc>
      </w:tr>
    </w:tbl>
    <w:bookmarkStart w:id="12" w:name="data-manipulations"/>
    <w:p>
      <w:pPr>
        <w:pStyle w:val="Heading2"/>
      </w:pPr>
      <w:r>
        <w:t xml:space="preserve">Data manipulations</w:t>
      </w:r>
    </w:p>
    <w:p>
      <w:pPr>
        <w:pStyle w:val="FirstParagraph"/>
      </w:pPr>
      <w:r>
        <w:t xml:space="preserve">We often need to transform parts of our data - e.g. </w:t>
      </w:r>
    </w:p>
    <w:p>
      <w:pPr>
        <w:pStyle w:val="Compact"/>
        <w:numPr>
          <w:ilvl w:val="0"/>
          <w:numId w:val="1001"/>
        </w:numPr>
      </w:pPr>
      <w:r>
        <w:t xml:space="preserve">Converting units</w:t>
      </w:r>
    </w:p>
    <w:p>
      <w:pPr>
        <w:pStyle w:val="Compact"/>
        <w:numPr>
          <w:ilvl w:val="0"/>
          <w:numId w:val="1001"/>
        </w:numPr>
      </w:pPr>
      <w:r>
        <w:t xml:space="preserve">Calculating derived properties</w:t>
      </w:r>
    </w:p>
    <w:p>
      <w:pPr>
        <w:pStyle w:val="Compact"/>
        <w:numPr>
          <w:ilvl w:val="0"/>
          <w:numId w:val="1001"/>
        </w:numPr>
      </w:pPr>
      <w:r>
        <w:t xml:space="preserve">Normalizing</w:t>
      </w:r>
    </w:p>
    <w:p>
      <w:pPr>
        <w:pStyle w:val="FirstParagraph"/>
      </w:pPr>
      <w:r>
        <w:t xml:space="preserve">Our dataset has the wavelength in nanometers, perhaps we would like to work with meters instead</w:t>
      </w:r>
    </w:p>
    <w:p>
      <w:pPr>
        <w:pStyle w:val="SourceCode"/>
      </w:pPr>
      <w:r>
        <w:rPr>
          <w:rStyle w:val="NormalTok"/>
        </w:rPr>
        <w:t xml:space="preserve">pigments[</w:t>
      </w:r>
      <w:r>
        <w:rPr>
          <w:rStyle w:val="StringTok"/>
        </w:rPr>
        <w:t xml:space="preserve">'wavelength_m'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pigments[</w:t>
      </w:r>
      <w:r>
        <w:rPr>
          <w:rStyle w:val="StringTok"/>
        </w:rPr>
        <w:t xml:space="preserve">'wavelength_nm'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OperatorTok"/>
        </w:rPr>
        <w:t xml:space="preserve">**</w:t>
      </w:r>
      <w:r>
        <w:rPr>
          <w:rStyle w:val="NormalTok"/>
        </w:rPr>
        <w:t xml:space="preserve">(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9</w:t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This is an example of an</w:t>
      </w:r>
      <w:r>
        <w:t xml:space="preserve"> </w:t>
      </w:r>
      <w:r>
        <w:rPr>
          <w:b/>
          <w:bCs/>
        </w:rPr>
        <w:t xml:space="preserve">element-wise operation</w:t>
      </w:r>
      <w:r>
        <w:t xml:space="preserve"> </w:t>
      </w:r>
      <w:r>
        <w:t xml:space="preserve">- every element of</w:t>
      </w:r>
      <w:r>
        <w:t xml:space="preserve"> </w:t>
      </w:r>
      <w:r>
        <w:rPr>
          <w:rStyle w:val="VerbatimChar"/>
        </w:rPr>
        <w:t xml:space="preserve">pigments['wavelength_nm']</w:t>
      </w:r>
      <w:r>
        <w:t xml:space="preserve"> </w:t>
      </w:r>
      <w:r>
        <w:t xml:space="preserve">is multiplied by</w:t>
      </w:r>
      <w:r>
        <w:t xml:space="preserve"> </w:t>
      </w:r>
      <w:r>
        <w:rPr>
          <w:rStyle w:val="VerbatimChar"/>
        </w:rPr>
        <w:t xml:space="preserve">10**(-9)</w:t>
      </w:r>
      <w:r>
        <w:t xml:space="preserve">.</w:t>
      </w:r>
    </w:p>
    <w:bookmarkStart w:id="10" w:name="exercise-converting-to-photon-energy"/>
    <w:p>
      <w:pPr>
        <w:pStyle w:val="Heading3"/>
      </w:pPr>
      <w:r>
        <w:t xml:space="preserve">Exercise: Converting to photon energy</w:t>
      </w:r>
    </w:p>
    <w:p>
      <w:pPr>
        <w:pStyle w:val="FirstParagraph"/>
      </w:pPr>
      <w:r>
        <w:t xml:space="preserve">A more interesting unit conversion for this dataset would be to work with photon energy in eV,</w:t>
      </w:r>
      <w:r>
        <w:t xml:space="preserve"> </w:t>
      </w:r>
      <w:r>
        <w:t xml:space="preserve">which can be computed with the formula</w:t>
      </w:r>
    </w:p>
    <w:p>
      <w:pPr>
        <w:pStyle w:val="BodyText"/>
      </w:pPr>
      <m:oMathPara>
        <m:oMathParaPr>
          <m:jc m:val="center"/>
        </m:oMathParaPr>
        <m:oMath>
          <m:r>
            <m:t>E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1240</m:t>
              </m:r>
            </m:num>
            <m:den>
              <m:r>
                <m:t>λ</m:t>
              </m:r>
            </m:den>
          </m:f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is the photon energy and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is the wavelength in eV.</w:t>
      </w:r>
    </w:p>
    <w:p>
      <w:pPr>
        <w:pStyle w:val="BodyText"/>
      </w:pPr>
      <w:r>
        <w:t xml:space="preserve">In the cell below the dataset is available in the variable</w:t>
      </w:r>
      <w:r>
        <w:t xml:space="preserve"> </w:t>
      </w:r>
      <w:r>
        <w:rPr>
          <w:rStyle w:val="VerbatimChar"/>
        </w:rPr>
        <w:t xml:space="preserve">pigments</w:t>
      </w:r>
      <w:r>
        <w:t xml:space="preserve">, Use the cell to make this conversion to eV.</w:t>
      </w:r>
    </w:p>
    <w:p>
      <w:pPr>
        <w:pStyle w:val="SourceCode"/>
      </w:pPr>
      <w:r>
        <w:rPr>
          <w:rStyle w:val="CommentTok"/>
        </w:rPr>
        <w:t xml:space="preserve"># Replace the blank line below with your code to make the conversion</w:t>
      </w:r>
      <w:r>
        <w:br/>
      </w:r>
      <w:r>
        <w:rPr>
          <w:rStyle w:val="NormalTok"/>
        </w:rPr>
        <w:t xml:space="preserve">_______</w:t>
      </w:r>
      <w:r>
        <w:br/>
      </w:r>
      <w:r>
        <w:br/>
      </w:r>
      <w:r>
        <w:rPr>
          <w:rStyle w:val="CommentTok"/>
        </w:rPr>
        <w:t xml:space="preserve"># Make a plot with the x-axis as photon energy </w:t>
      </w:r>
      <w:r>
        <w:br/>
      </w:r>
      <w:r>
        <w:rPr>
          <w:rStyle w:val="NormalTok"/>
        </w:rPr>
        <w:t xml:space="preserve">fig, ax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plt.subplots()</w:t>
      </w:r>
      <w:r>
        <w:br/>
      </w:r>
      <w:r>
        <w:br/>
      </w:r>
      <w:r>
        <w:rPr>
          <w:rStyle w:val="NormalTok"/>
        </w:rPr>
        <w:t xml:space="preserve">_______ </w:t>
      </w:r>
      <w:r>
        <w:br/>
      </w:r>
      <w:r>
        <w:br/>
      </w:r>
      <w:r>
        <w:rPr>
          <w:rStyle w:val="NormalTok"/>
        </w:rPr>
        <w:t xml:space="preserve">plt.show()</w:t>
      </w:r>
    </w:p>
    <w:bookmarkEnd w:id="10"/>
    <w:bookmarkStart w:id="11" w:name="exercise-mixture-of-pigments"/>
    <w:p>
      <w:pPr>
        <w:pStyle w:val="Heading3"/>
      </w:pPr>
      <w:r>
        <w:t xml:space="preserve">Exercise: Mixture of pigments</w:t>
      </w:r>
    </w:p>
    <w:p>
      <w:pPr>
        <w:pStyle w:val="FirstParagraph"/>
      </w:pPr>
      <w:r>
        <w:t xml:space="preserve">We can approximate the absorbance of a mixture by using the equation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A</m:t>
              </m:r>
            </m:e>
            <m:sub>
              <m:r>
                <m:rPr>
                  <m:sty m:val="p"/>
                </m:rPr>
                <m:t>m</m:t>
              </m:r>
              <m:r>
                <m:rPr>
                  <m:sty m:val="p"/>
                </m:rPr>
                <m:t>i</m:t>
              </m:r>
              <m:r>
                <m:rPr>
                  <m:sty m:val="p"/>
                </m:rPr>
                <m:t>x</m:t>
              </m:r>
              <m:r>
                <m:rPr>
                  <m:sty m:val="p"/>
                </m:rPr>
                <m:t>t</m:t>
              </m:r>
              <m:r>
                <m:rPr>
                  <m:sty m:val="p"/>
                </m:rPr>
                <m:t>u</m:t>
              </m:r>
              <m:r>
                <m:rPr>
                  <m:sty m:val="p"/>
                </m:rPr>
                <m:t>r</m:t>
              </m:r>
              <m:r>
                <m:rPr>
                  <m:sty m:val="p"/>
                </m:rPr>
                <m:t>e</m:t>
              </m:r>
            </m:sub>
          </m:sSub>
          <m:r>
            <m:rPr>
              <m:sty m:val="p"/>
            </m:rPr>
            <m:t>(</m:t>
          </m:r>
          <m: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e>
              <m:r>
                <m:t>c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⋅</m:t>
          </m:r>
          <m:sSub>
            <m:e>
              <m:r>
                <m:t>A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(</m:t>
          </m:r>
          <m: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e>
              <m:r>
                <m:t>c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⋅</m:t>
          </m:r>
          <m:sSub>
            <m:e>
              <m:r>
                <m:t>A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(</m:t>
          </m:r>
          <m:r>
            <m:t>λ</m:t>
          </m:r>
          <m:r>
            <m:rPr>
              <m:sty m:val="p"/>
            </m:rPr>
            <m:t>)</m:t>
          </m:r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are absorbances of each component of the mixture and</w:t>
      </w:r>
      <w:r>
        <w:t xml:space="preserve"> </w:t>
      </w:r>
      <m:oMath>
        <m:sSub>
          <m:e>
            <m:r>
              <m:t>c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are proportions of each component. Use this to calculate the absorbance of a mixture of 70%</w:t>
      </w:r>
      <w:r>
        <w:t xml:space="preserve"> </w:t>
      </w:r>
      <w:r>
        <w:rPr>
          <w:rStyle w:val="VerbatimChar"/>
        </w:rPr>
        <w:t xml:space="preserve">chlorophyll-a</w:t>
      </w:r>
      <w:r>
        <w:t xml:space="preserve"> </w:t>
      </w:r>
      <w:r>
        <w:t xml:space="preserve">and 30%</w:t>
      </w:r>
      <w:r>
        <w:t xml:space="preserve"> </w:t>
      </w:r>
      <w:r>
        <w:rPr>
          <w:rStyle w:val="VerbatimChar"/>
        </w:rPr>
        <w:t xml:space="preserve">chlorophyll-b</w:t>
      </w:r>
    </w:p>
    <w:p>
      <w:pPr>
        <w:pStyle w:val="SourceCode"/>
      </w:pPr>
      <w:r>
        <w:rPr>
          <w:rStyle w:val="CommentTok"/>
        </w:rPr>
        <w:t xml:space="preserve"># Calculate the mixture</w:t>
      </w:r>
      <w:r>
        <w:br/>
      </w:r>
      <w:r>
        <w:rPr>
          <w:rStyle w:val="NormalTok"/>
        </w:rPr>
        <w:t xml:space="preserve">c1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______</w:t>
      </w:r>
      <w:r>
        <w:br/>
      </w:r>
      <w:r>
        <w:rPr>
          <w:rStyle w:val="NormalTok"/>
        </w:rPr>
        <w:t xml:space="preserve">c2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______</w:t>
      </w:r>
      <w:r>
        <w:br/>
      </w:r>
      <w:r>
        <w:rPr>
          <w:rStyle w:val="NormalTok"/>
        </w:rPr>
        <w:t xml:space="preserve">A_mixture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_______</w:t>
      </w:r>
      <w:r>
        <w:br/>
      </w:r>
      <w:r>
        <w:br/>
      </w:r>
      <w:r>
        <w:rPr>
          <w:rStyle w:val="CommentTok"/>
        </w:rPr>
        <w:t xml:space="preserve"># Plot the mixture absorbance</w:t>
      </w:r>
      <w:r>
        <w:br/>
      </w:r>
      <w:r>
        <w:rPr>
          <w:rStyle w:val="NormalTok"/>
        </w:rPr>
        <w:t xml:space="preserve">fig, ax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plt.subplots()</w:t>
      </w:r>
      <w:r>
        <w:br/>
      </w:r>
      <w:r>
        <w:br/>
      </w:r>
      <w:r>
        <w:rPr>
          <w:rStyle w:val="NormalTok"/>
        </w:rPr>
        <w:t xml:space="preserve">x_data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pigments[</w:t>
      </w:r>
      <w:r>
        <w:rPr>
          <w:rStyle w:val="StringTok"/>
        </w:rPr>
        <w:t xml:space="preserve">'wavelength_nm'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ax.plot(x_data, pigments[</w:t>
      </w:r>
      <w:r>
        <w:rPr>
          <w:rStyle w:val="StringTok"/>
        </w:rPr>
        <w:t xml:space="preserve">'chlorophyll-a'</w:t>
      </w:r>
      <w:r>
        <w:rPr>
          <w:rStyle w:val="NormalTok"/>
        </w:rPr>
        <w:t xml:space="preserve">], label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'c-a'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ax.plot(x_data, pigments[</w:t>
      </w:r>
      <w:r>
        <w:rPr>
          <w:rStyle w:val="StringTok"/>
        </w:rPr>
        <w:t xml:space="preserve">'chlorophyll-b'</w:t>
      </w:r>
      <w:r>
        <w:rPr>
          <w:rStyle w:val="NormalTok"/>
        </w:rPr>
        <w:t xml:space="preserve">], label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'c-b'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______</w:t>
      </w:r>
      <w:r>
        <w:br/>
      </w:r>
      <w:r>
        <w:br/>
      </w:r>
      <w:r>
        <w:rPr>
          <w:rStyle w:val="NormalTok"/>
        </w:rPr>
        <w:t xml:space="preserve">plt.show()</w:t>
      </w:r>
    </w:p>
    <w:bookmarkEnd w:id="11"/>
    <w:bookmarkEnd w:id="1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working_with_data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working_with_data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TØ 7. Extra</dc:title>
  <dc:creator/>
  <cp:keywords/>
  <dcterms:created xsi:type="dcterms:W3CDTF">2026-06-16T10:34:10Z</dcterms:created>
  <dcterms:modified xsi:type="dcterms:W3CDTF">2026-06-16T10:34:10Z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yodide">
    <vt:lpwstr/>
  </property>
  <property fmtid="{D5CDD505-2E9C-101B-9397-08002B2CF9AE}" pid="9" name="toc-title">
    <vt:lpwstr>Table of contents</vt:lpwstr>
  </property>
</Properties>
</file>